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EF9C" w14:textId="77777777" w:rsidR="008C0BE6" w:rsidRDefault="00D87834">
      <w:pPr>
        <w:tabs>
          <w:tab w:val="left" w:pos="851"/>
        </w:tabs>
        <w:spacing w:after="0" w:line="276" w:lineRule="auto"/>
        <w:jc w:val="center"/>
        <w:rPr>
          <w:rFonts w:ascii="Arial" w:eastAsia="Times New Roman" w:hAnsi="Arial" w:cs="Arial"/>
          <w:b/>
          <w:color w:val="000000"/>
          <w:szCs w:val="24"/>
          <w:lang w:val="en-GB"/>
        </w:rPr>
      </w:pPr>
      <w:r>
        <w:rPr>
          <w:rFonts w:ascii="Arial" w:eastAsia="Times New Roman" w:hAnsi="Arial" w:cs="Arial"/>
          <w:b/>
          <w:color w:val="000000"/>
          <w:szCs w:val="24"/>
          <w:lang w:val="en-GB"/>
        </w:rPr>
        <w:t>PRORAČUNSKI KORISNIK 10581: OŠ MATIJE VLAČIĆA, LABIN</w:t>
      </w:r>
    </w:p>
    <w:p w14:paraId="5F65F113" w14:textId="77777777" w:rsidR="008C0BE6" w:rsidRDefault="008C0BE6">
      <w:pPr>
        <w:spacing w:after="0" w:line="276" w:lineRule="auto"/>
        <w:rPr>
          <w:rFonts w:ascii="Arial" w:eastAsia="Calibri" w:hAnsi="Arial" w:cs="Arial"/>
          <w:b/>
          <w:color w:val="FF0000"/>
          <w:sz w:val="22"/>
        </w:rPr>
      </w:pPr>
    </w:p>
    <w:p w14:paraId="64DE4D57" w14:textId="77777777" w:rsidR="008C0BE6" w:rsidRDefault="008C0BE6">
      <w:pPr>
        <w:spacing w:after="0" w:line="276" w:lineRule="auto"/>
        <w:rPr>
          <w:rFonts w:ascii="Arial" w:eastAsia="Calibri" w:hAnsi="Arial" w:cs="Arial"/>
          <w:b/>
          <w:color w:val="FF0000"/>
          <w:sz w:val="22"/>
        </w:rPr>
      </w:pPr>
    </w:p>
    <w:p w14:paraId="3F49E643" w14:textId="77777777" w:rsidR="008C0BE6" w:rsidRDefault="00D8783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1.OPĆENITO O PLANU PRORAČUNA PRORAČUNSKOG  KORISNIKA </w:t>
      </w:r>
    </w:p>
    <w:p w14:paraId="11136226" w14:textId="77777777" w:rsidR="008C0BE6" w:rsidRDefault="008C0BE6">
      <w:pPr>
        <w:rPr>
          <w:rFonts w:ascii="Arial" w:hAnsi="Arial" w:cs="Arial"/>
          <w:b/>
          <w:color w:val="FF0000"/>
          <w:sz w:val="20"/>
          <w:szCs w:val="20"/>
        </w:rPr>
      </w:pPr>
    </w:p>
    <w:p w14:paraId="2FA8FC0F" w14:textId="77777777" w:rsidR="008C0BE6" w:rsidRDefault="00D87834">
      <w:pPr>
        <w:spacing w:after="0"/>
        <w:ind w:firstLine="708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Prihodi i primici Osnovne škole Matije Vlačića Labin za 2026. godinu planirani su u iznosu od 2</w:t>
      </w:r>
      <w:r>
        <w:rPr>
          <w:rFonts w:ascii="Arial" w:hAnsi="Arial" w:cs="Arial"/>
          <w:sz w:val="22"/>
        </w:rPr>
        <w:t xml:space="preserve">.017.570 </w:t>
      </w:r>
      <w:r>
        <w:rPr>
          <w:rFonts w:ascii="Arial" w:eastAsia="Calibri" w:hAnsi="Arial" w:cs="Arial"/>
          <w:sz w:val="22"/>
        </w:rPr>
        <w:t>eura te se su u cijelosti prihodi od poslovanja.</w:t>
      </w:r>
    </w:p>
    <w:p w14:paraId="00DAA465" w14:textId="77777777" w:rsidR="008C0BE6" w:rsidRDefault="00D87834">
      <w:pPr>
        <w:spacing w:after="0"/>
        <w:ind w:firstLine="708"/>
        <w:jc w:val="both"/>
        <w:rPr>
          <w:rFonts w:ascii="Arial" w:eastAsia="Times New Roman" w:hAnsi="Arial" w:cs="Arial"/>
          <w:sz w:val="22"/>
          <w:lang w:val="en-GB"/>
        </w:rPr>
      </w:pPr>
      <w:r>
        <w:rPr>
          <w:rFonts w:ascii="Arial" w:eastAsia="Times New Roman" w:hAnsi="Arial" w:cs="Arial"/>
          <w:sz w:val="22"/>
        </w:rPr>
        <w:t>Rashodi</w:t>
      </w:r>
      <w:r>
        <w:rPr>
          <w:rFonts w:ascii="Arial" w:eastAsia="Times New Roman" w:hAnsi="Arial" w:cs="Arial"/>
          <w:sz w:val="22"/>
          <w:lang w:val="en-GB"/>
        </w:rPr>
        <w:t xml:space="preserve"> i</w:t>
      </w:r>
      <w:r>
        <w:rPr>
          <w:rFonts w:ascii="Arial" w:eastAsia="Times New Roman" w:hAnsi="Arial" w:cs="Arial"/>
          <w:sz w:val="22"/>
        </w:rPr>
        <w:t xml:space="preserve"> izdaci Osnovne škole Matije Vlačića</w:t>
      </w:r>
      <w:r>
        <w:rPr>
          <w:rFonts w:ascii="Arial" w:eastAsia="Times New Roman" w:hAnsi="Arial" w:cs="Arial"/>
          <w:sz w:val="22"/>
          <w:lang w:val="en-GB"/>
        </w:rPr>
        <w:t xml:space="preserve"> Labin za 2026.</w:t>
      </w:r>
      <w:r>
        <w:rPr>
          <w:rFonts w:ascii="Arial" w:eastAsia="Times New Roman" w:hAnsi="Arial" w:cs="Arial"/>
          <w:sz w:val="22"/>
        </w:rPr>
        <w:t xml:space="preserve"> godinu planirani su</w:t>
      </w:r>
      <w:r>
        <w:rPr>
          <w:rFonts w:ascii="Arial" w:eastAsia="Times New Roman" w:hAnsi="Arial" w:cs="Arial"/>
          <w:sz w:val="22"/>
          <w:lang w:val="en-GB"/>
        </w:rPr>
        <w:t xml:space="preserve"> u</w:t>
      </w:r>
      <w:r>
        <w:rPr>
          <w:rFonts w:ascii="Arial" w:eastAsia="Times New Roman" w:hAnsi="Arial" w:cs="Arial"/>
          <w:sz w:val="22"/>
        </w:rPr>
        <w:t xml:space="preserve"> iznosu</w:t>
      </w:r>
      <w:r>
        <w:rPr>
          <w:rFonts w:ascii="Arial" w:eastAsia="Times New Roman" w:hAnsi="Arial" w:cs="Arial"/>
          <w:sz w:val="22"/>
          <w:lang w:val="en-GB"/>
        </w:rPr>
        <w:t xml:space="preserve"> od 2</w:t>
      </w:r>
      <w:r>
        <w:rPr>
          <w:rFonts w:ascii="Arial" w:hAnsi="Arial" w:cs="Arial"/>
          <w:sz w:val="22"/>
        </w:rPr>
        <w:t xml:space="preserve">.021.070 </w:t>
      </w:r>
      <w:r>
        <w:rPr>
          <w:rFonts w:ascii="Arial" w:eastAsia="Times New Roman" w:hAnsi="Arial" w:cs="Arial"/>
          <w:sz w:val="22"/>
          <w:lang w:val="en-GB"/>
        </w:rPr>
        <w:t>eura, a</w:t>
      </w:r>
      <w:r>
        <w:rPr>
          <w:rFonts w:ascii="Arial" w:eastAsia="Times New Roman" w:hAnsi="Arial" w:cs="Arial"/>
          <w:sz w:val="22"/>
        </w:rPr>
        <w:t xml:space="preserve"> raspoređeni su na</w:t>
      </w:r>
      <w:r>
        <w:rPr>
          <w:rFonts w:ascii="Arial" w:eastAsia="Times New Roman" w:hAnsi="Arial" w:cs="Arial"/>
          <w:sz w:val="22"/>
          <w:lang w:val="en-GB"/>
        </w:rPr>
        <w:t>:</w:t>
      </w:r>
    </w:p>
    <w:p w14:paraId="5EE15B1B" w14:textId="77777777" w:rsidR="008C0BE6" w:rsidRDefault="008C0BE6">
      <w:pPr>
        <w:spacing w:after="0"/>
        <w:ind w:firstLine="708"/>
        <w:rPr>
          <w:rFonts w:ascii="Arial" w:eastAsia="Times New Roman" w:hAnsi="Arial" w:cs="Arial"/>
          <w:sz w:val="22"/>
          <w:lang w:val="en-GB"/>
        </w:rPr>
      </w:pPr>
    </w:p>
    <w:p w14:paraId="0670FF4B" w14:textId="77777777" w:rsidR="008C0BE6" w:rsidRDefault="00D8783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rashode poslovanja                                               1.997.670 eura</w:t>
      </w:r>
    </w:p>
    <w:p w14:paraId="37FE8F14" w14:textId="77777777" w:rsidR="008C0BE6" w:rsidRDefault="00D8783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rashode za nabavu nefinancijske imovine          </w:t>
      </w:r>
      <w:r>
        <w:rPr>
          <w:rFonts w:ascii="Arial" w:hAnsi="Arial" w:cs="Arial"/>
          <w:sz w:val="22"/>
        </w:rPr>
        <w:tab/>
        <w:t xml:space="preserve">      23.400 eura</w:t>
      </w:r>
    </w:p>
    <w:p w14:paraId="3BC3B9E6" w14:textId="77777777" w:rsidR="008C0BE6" w:rsidRDefault="008C0BE6">
      <w:pPr>
        <w:ind w:firstLine="708"/>
        <w:jc w:val="both"/>
        <w:rPr>
          <w:rFonts w:ascii="Arial" w:hAnsi="Arial" w:cs="Arial"/>
          <w:sz w:val="22"/>
        </w:rPr>
      </w:pPr>
    </w:p>
    <w:p w14:paraId="5EBF78E8" w14:textId="77777777" w:rsidR="008C0BE6" w:rsidRDefault="00D87834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 nastavku obrazloženja daje se tabelarni prikaz plana i izmjena plana prihoda i primitaka te rashoda i izdataka po skupinama i podskupinama. </w:t>
      </w:r>
    </w:p>
    <w:p w14:paraId="728E39A4" w14:textId="77777777" w:rsidR="008C0BE6" w:rsidRDefault="00D87834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TABLICA 1. </w:t>
      </w:r>
      <w:r>
        <w:rPr>
          <w:rFonts w:ascii="Arial" w:hAnsi="Arial" w:cs="Arial"/>
          <w:sz w:val="22"/>
        </w:rPr>
        <w:tab/>
      </w:r>
    </w:p>
    <w:tbl>
      <w:tblPr>
        <w:tblW w:w="8974" w:type="dxa"/>
        <w:tblLook w:val="04A0" w:firstRow="1" w:lastRow="0" w:firstColumn="1" w:lastColumn="0" w:noHBand="0" w:noVBand="1"/>
      </w:tblPr>
      <w:tblGrid>
        <w:gridCol w:w="994"/>
        <w:gridCol w:w="2660"/>
        <w:gridCol w:w="2660"/>
        <w:gridCol w:w="2660"/>
      </w:tblGrid>
      <w:tr w:rsidR="008C0BE6" w14:paraId="50E777F9" w14:textId="77777777">
        <w:trPr>
          <w:trHeight w:val="3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55462EDB" w14:textId="77777777" w:rsidR="008C0BE6" w:rsidRDefault="00D878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Skupina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805F27" w14:textId="77777777" w:rsidR="008C0BE6" w:rsidRDefault="00D878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prihoda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CF1B9B" w14:textId="77777777" w:rsidR="008C0BE6" w:rsidRDefault="00D878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62EB3E" w14:textId="77777777" w:rsidR="008C0BE6" w:rsidRDefault="00D878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za 2026.</w:t>
            </w:r>
          </w:p>
        </w:tc>
      </w:tr>
      <w:tr w:rsidR="008C0BE6" w14:paraId="31A72466" w14:textId="77777777">
        <w:trPr>
          <w:trHeight w:val="3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26C1D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A7A84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AAD598" w14:textId="07FB92C2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</w:t>
            </w:r>
            <w:r w:rsidR="00DB7A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0.44</w:t>
            </w:r>
            <w:r w:rsidR="00DB7A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D1188A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2.017.570</w:t>
            </w:r>
          </w:p>
        </w:tc>
      </w:tr>
      <w:tr w:rsidR="008C0BE6" w14:paraId="37B146D8" w14:textId="77777777">
        <w:trPr>
          <w:trHeight w:val="76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C34B8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F649D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F3B8EC" w14:textId="30DC788C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1.61</w:t>
            </w:r>
            <w:r w:rsidR="00DB7A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DB7A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0A0010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1.597.270</w:t>
            </w:r>
          </w:p>
        </w:tc>
      </w:tr>
      <w:tr w:rsidR="008C0BE6" w14:paraId="680D9DB4" w14:textId="77777777">
        <w:trPr>
          <w:trHeight w:val="10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7AEED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E8781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A10553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77.750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563A76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74.100</w:t>
            </w:r>
          </w:p>
        </w:tc>
      </w:tr>
      <w:tr w:rsidR="008C0BE6" w14:paraId="09D7F8BA" w14:textId="77777777">
        <w:trPr>
          <w:trHeight w:val="76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7DE40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6319D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6A3153" w14:textId="41CBA2C0" w:rsidR="008C0BE6" w:rsidRDefault="00DB7A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</w:t>
            </w:r>
            <w:r w:rsidR="00D878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D878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F2F619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3.500</w:t>
            </w:r>
          </w:p>
        </w:tc>
      </w:tr>
      <w:tr w:rsidR="008C0BE6" w14:paraId="10816987" w14:textId="77777777">
        <w:trPr>
          <w:trHeight w:val="76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DA14E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20DD8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iz nadležnog proračuna i od HZZO-a temeljem ugovornih obveza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69EF82" w14:textId="53828158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DB7A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DB7A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16387A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342.700</w:t>
            </w:r>
          </w:p>
        </w:tc>
      </w:tr>
      <w:tr w:rsidR="008C0BE6" w14:paraId="632023BB" w14:textId="77777777">
        <w:trPr>
          <w:trHeight w:val="51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A2547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4E857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C21964" w14:textId="77777777" w:rsidR="008C0BE6" w:rsidRDefault="008C0B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54C541" w14:textId="77777777" w:rsidR="008C0BE6" w:rsidRDefault="008C0B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C0BE6" w14:paraId="6184214A" w14:textId="77777777">
        <w:trPr>
          <w:trHeight w:val="76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7A3F5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9E4D7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3CE917" w14:textId="77777777" w:rsidR="008C0BE6" w:rsidRDefault="008C0B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C70128" w14:textId="77777777" w:rsidR="008C0BE6" w:rsidRDefault="008C0B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857B3" w:rsidRPr="002857B3" w14:paraId="56771707" w14:textId="77777777">
        <w:trPr>
          <w:trHeight w:val="76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DF1D8" w14:textId="77777777" w:rsidR="008C0BE6" w:rsidRPr="002857B3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57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3BCC4" w14:textId="77777777" w:rsidR="008C0BE6" w:rsidRPr="002857B3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57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Rezultat poslovanja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DD881E" w14:textId="77777777" w:rsidR="008C0BE6" w:rsidRPr="002857B3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57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-334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BBA35E" w14:textId="77777777" w:rsidR="008C0BE6" w:rsidRPr="002857B3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57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</w:t>
            </w:r>
          </w:p>
        </w:tc>
      </w:tr>
      <w:tr w:rsidR="002857B3" w:rsidRPr="002857B3" w14:paraId="6A300E06" w14:textId="77777777">
        <w:trPr>
          <w:trHeight w:val="76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B4521" w14:textId="77777777" w:rsidR="008C0BE6" w:rsidRPr="002857B3" w:rsidRDefault="008C0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hr-H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7D7CE" w14:textId="77777777" w:rsidR="008C0BE6" w:rsidRPr="002857B3" w:rsidRDefault="00D878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hr-HR"/>
              </w:rPr>
            </w:pPr>
            <w:r w:rsidRPr="002857B3">
              <w:rPr>
                <w:rFonts w:ascii="Arial" w:hAnsi="Arial" w:cs="Arial"/>
                <w:b/>
                <w:bCs/>
                <w:sz w:val="20"/>
                <w:szCs w:val="18"/>
              </w:rPr>
              <w:t>Sveukupni prihodi i rezultat poslovanja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FEEB5A" w14:textId="35719C93" w:rsidR="008C0BE6" w:rsidRPr="002857B3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hr-HR"/>
              </w:rPr>
            </w:pPr>
            <w:r w:rsidRPr="002857B3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hr-HR"/>
              </w:rPr>
              <w:t>2.0</w:t>
            </w:r>
            <w:r w:rsidR="00DB7AF9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hr-HR"/>
              </w:rPr>
              <w:t>4</w:t>
            </w:r>
            <w:r w:rsidR="002857B3" w:rsidRPr="002857B3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hr-HR"/>
              </w:rPr>
              <w:t>0</w:t>
            </w:r>
            <w:r w:rsidRPr="002857B3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hr-HR"/>
              </w:rPr>
              <w:t>.</w:t>
            </w:r>
            <w:r w:rsidR="002857B3" w:rsidRPr="002857B3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hr-HR"/>
              </w:rPr>
              <w:t>11</w:t>
            </w:r>
            <w:r w:rsidR="00DB7AF9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hr-HR"/>
              </w:rPr>
              <w:t>5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97BCBA" w14:textId="7922A235" w:rsidR="008C0BE6" w:rsidRPr="002857B3" w:rsidRDefault="002857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hr-HR"/>
              </w:rPr>
            </w:pPr>
            <w:r w:rsidRPr="002857B3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hr-HR"/>
              </w:rPr>
              <w:t>2.020.070</w:t>
            </w:r>
          </w:p>
        </w:tc>
      </w:tr>
      <w:tr w:rsidR="002857B3" w:rsidRPr="002857B3" w14:paraId="4C182174" w14:textId="77777777">
        <w:trPr>
          <w:trHeight w:val="76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6EFF1" w14:textId="77777777" w:rsidR="008C0BE6" w:rsidRPr="002857B3" w:rsidRDefault="008C0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hr-H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FE2BE" w14:textId="77777777" w:rsidR="008C0BE6" w:rsidRPr="002857B3" w:rsidRDefault="008C0BE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2A65F8" w14:textId="77777777" w:rsidR="008C0BE6" w:rsidRPr="002857B3" w:rsidRDefault="008C0B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hr-H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96B7DB" w14:textId="77777777" w:rsidR="008C0BE6" w:rsidRPr="002857B3" w:rsidRDefault="008C0B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hr-HR"/>
              </w:rPr>
            </w:pPr>
          </w:p>
        </w:tc>
      </w:tr>
      <w:tr w:rsidR="008C0BE6" w14:paraId="60E1299C" w14:textId="77777777">
        <w:trPr>
          <w:trHeight w:val="56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83143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Skupina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16B42E" w14:textId="77777777" w:rsidR="008C0BE6" w:rsidRDefault="00D878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rashoda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50AFE36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1C72B9E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 za 2026.</w:t>
            </w:r>
          </w:p>
        </w:tc>
      </w:tr>
      <w:tr w:rsidR="008C0BE6" w14:paraId="1A50EA45" w14:textId="77777777">
        <w:trPr>
          <w:trHeight w:val="76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61E03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A38D9" w14:textId="77777777" w:rsidR="008C0BE6" w:rsidRDefault="00D878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poslovanja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23BBEB" w14:textId="19BE182C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</w:t>
            </w:r>
            <w:r w:rsidR="00DB7A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DB7A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ECED1B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1.997.670</w:t>
            </w:r>
          </w:p>
        </w:tc>
      </w:tr>
      <w:tr w:rsidR="008C0BE6" w14:paraId="03868623" w14:textId="77777777">
        <w:trPr>
          <w:trHeight w:val="76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81B28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688F3" w14:textId="77777777" w:rsidR="008C0BE6" w:rsidRDefault="00D878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zaposlene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70ADB1" w14:textId="557644E6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1.64</w:t>
            </w:r>
            <w:r w:rsidR="00DB7A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5.590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C429DA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1.632.970</w:t>
            </w:r>
          </w:p>
        </w:tc>
      </w:tr>
      <w:tr w:rsidR="008C0BE6" w14:paraId="3F94BD41" w14:textId="77777777">
        <w:trPr>
          <w:trHeight w:val="76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49C71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28FF1" w14:textId="77777777" w:rsidR="008C0BE6" w:rsidRDefault="00D878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Materijalni rashodi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D8D1D1" w14:textId="7405F2DD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DB7A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DB7A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F5FA6B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349.900</w:t>
            </w:r>
          </w:p>
        </w:tc>
      </w:tr>
      <w:tr w:rsidR="008C0BE6" w14:paraId="35FAB4D5" w14:textId="77777777">
        <w:trPr>
          <w:trHeight w:val="76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D2D0C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5F550" w14:textId="77777777" w:rsidR="008C0BE6" w:rsidRDefault="00D878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Financijski rashodi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40AA45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D0F959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tr w:rsidR="008C0BE6" w14:paraId="4FA4A1F7" w14:textId="77777777">
        <w:trPr>
          <w:trHeight w:val="76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81FA0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22B91" w14:textId="77777777" w:rsidR="008C0BE6" w:rsidRDefault="00D878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Naknade građanima i kućanstvima na temelju osiguranja i druge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AE4FFD" w14:textId="71639743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="00DB7A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DB7A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3F6F7B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</w:t>
            </w:r>
          </w:p>
        </w:tc>
      </w:tr>
      <w:tr w:rsidR="008C0BE6" w14:paraId="76AB3BE7" w14:textId="77777777">
        <w:trPr>
          <w:trHeight w:val="76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66A3A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629AF" w14:textId="77777777" w:rsidR="008C0BE6" w:rsidRDefault="00D878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Ostale usluge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F9E6BC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156AB3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800</w:t>
            </w:r>
          </w:p>
        </w:tc>
      </w:tr>
      <w:tr w:rsidR="008C0BE6" w14:paraId="5EA6DA3F" w14:textId="77777777">
        <w:trPr>
          <w:trHeight w:val="76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5F5D2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43828" w14:textId="77777777" w:rsidR="008C0BE6" w:rsidRDefault="00D878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nabavu nefinancijske imovine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FB1938" w14:textId="1C4DDC03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="00DB7A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DB7A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034624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23.400</w:t>
            </w:r>
          </w:p>
        </w:tc>
      </w:tr>
      <w:tr w:rsidR="008C0BE6" w14:paraId="310F9CD5" w14:textId="77777777">
        <w:trPr>
          <w:trHeight w:val="76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F96CD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9103C" w14:textId="77777777" w:rsidR="008C0BE6" w:rsidRDefault="00D878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nabavu ne proizvedene dugotrajne imovine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90BEDD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F701DF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C0BE6" w14:paraId="2D196118" w14:textId="77777777">
        <w:trPr>
          <w:trHeight w:val="76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06288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0DC5E" w14:textId="77777777" w:rsidR="008C0BE6" w:rsidRDefault="00D878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A2B746" w14:textId="63071BEF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="00DB7A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DB7A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5DC9F3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23.400</w:t>
            </w:r>
          </w:p>
        </w:tc>
      </w:tr>
      <w:tr w:rsidR="008C0BE6" w14:paraId="7FAE4FD6" w14:textId="77777777">
        <w:trPr>
          <w:trHeight w:val="76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EAC30" w14:textId="77777777" w:rsidR="008C0BE6" w:rsidRDefault="008C0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07870" w14:textId="77777777" w:rsidR="008C0BE6" w:rsidRDefault="00D8783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Sveukupni rashodi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E95A12" w14:textId="26030441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</w:t>
            </w:r>
            <w:r w:rsidR="00DB7A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0.11</w:t>
            </w:r>
            <w:r w:rsidR="00DB7A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314844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2.021.070</w:t>
            </w:r>
          </w:p>
        </w:tc>
      </w:tr>
    </w:tbl>
    <w:p w14:paraId="5D39BD9A" w14:textId="77777777" w:rsidR="008C0BE6" w:rsidRDefault="008C0BE6">
      <w:pPr>
        <w:jc w:val="both"/>
        <w:rPr>
          <w:rFonts w:ascii="Arial" w:hAnsi="Arial" w:cs="Arial"/>
          <w:b/>
          <w:sz w:val="22"/>
          <w:highlight w:val="yellow"/>
          <w:u w:val="single"/>
        </w:rPr>
      </w:pPr>
    </w:p>
    <w:p w14:paraId="0B2B9657" w14:textId="77777777" w:rsidR="008C0BE6" w:rsidRDefault="00D87834">
      <w:pPr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Obrazloženje prihoda i primitaka</w:t>
      </w:r>
    </w:p>
    <w:p w14:paraId="22332F78" w14:textId="77777777" w:rsidR="008C0BE6" w:rsidRDefault="00D87834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Pomoći iz inozemstva i od subjekata unutar općeg proračuna iznose (63) </w:t>
      </w:r>
      <w:r>
        <w:rPr>
          <w:rFonts w:ascii="Arial" w:hAnsi="Arial" w:cs="Arial"/>
          <w:bCs/>
          <w:sz w:val="22"/>
        </w:rPr>
        <w:t>1.597.270 eura</w:t>
      </w:r>
      <w:r>
        <w:rPr>
          <w:rFonts w:ascii="Arial" w:hAnsi="Arial" w:cs="Arial"/>
          <w:sz w:val="22"/>
        </w:rPr>
        <w:t xml:space="preserve"> od čega:</w:t>
      </w:r>
    </w:p>
    <w:p w14:paraId="20B0DA59" w14:textId="77777777" w:rsidR="008C0BE6" w:rsidRDefault="00D87834">
      <w:pPr>
        <w:pStyle w:val="Odlomakpopisa"/>
        <w:numPr>
          <w:ilvl w:val="1"/>
          <w:numId w:val="1"/>
        </w:numPr>
        <w:spacing w:after="200" w:line="276" w:lineRule="auto"/>
        <w:ind w:lef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Prihod iz državnog proračuna za rashode zaposlenih iznosi 1.414.100 te u odnosu na 2025. dolazi do povećanja uslijed povećanja osnovice za obračun plaće. </w:t>
      </w:r>
    </w:p>
    <w:p w14:paraId="3BB5544F" w14:textId="77777777" w:rsidR="008C0BE6" w:rsidRDefault="00D87834">
      <w:pPr>
        <w:pStyle w:val="Odlomakpopisa"/>
        <w:numPr>
          <w:ilvl w:val="1"/>
          <w:numId w:val="1"/>
        </w:numPr>
        <w:spacing w:after="200" w:line="276" w:lineRule="auto"/>
        <w:ind w:lef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Tekuće pomoći iz proračuna EU iznose 59.500 te se njima financiraju plaće za pomoćnike prema projektu RAST IV. Planirani iznos se smanjuje je jer se smanjio broj  zaposlenih PUN u šk.god 2025/2026</w:t>
      </w:r>
    </w:p>
    <w:p w14:paraId="36703B95" w14:textId="77777777" w:rsidR="008C0BE6" w:rsidRDefault="00D87834">
      <w:pPr>
        <w:pStyle w:val="Odlomakpopisa"/>
        <w:numPr>
          <w:ilvl w:val="1"/>
          <w:numId w:val="1"/>
        </w:numPr>
        <w:spacing w:after="200" w:line="276" w:lineRule="auto"/>
        <w:ind w:lef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Tekuće pomoći proračunskim korisnicima iz proračuna koji im nije nadležan:</w:t>
      </w:r>
    </w:p>
    <w:p w14:paraId="0AAA97A7" w14:textId="77777777" w:rsidR="008C0BE6" w:rsidRDefault="00D87834">
      <w:pPr>
        <w:pStyle w:val="Odlomakpopisa"/>
        <w:numPr>
          <w:ilvl w:val="0"/>
          <w:numId w:val="2"/>
        </w:numPr>
        <w:spacing w:after="200" w:line="276" w:lineRule="auto"/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Proračun Općine Raša za plaće u djelatnika u produženom boravku iznose 20.050 eura.</w:t>
      </w:r>
    </w:p>
    <w:p w14:paraId="4D8890F2" w14:textId="77777777" w:rsidR="008C0BE6" w:rsidRDefault="00D87834">
      <w:pPr>
        <w:pStyle w:val="Odlomakpopisa"/>
        <w:numPr>
          <w:ilvl w:val="0"/>
          <w:numId w:val="2"/>
        </w:numPr>
        <w:spacing w:after="200" w:line="276" w:lineRule="auto"/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Proračun Ministarstva znanosti i obrazovanja i Agencije za odgoj i obrazovanje 19.320, a služi za nabavku udžbenika, nastavnih sredstava, mentorstva učitelja te 80.000 eura temeljem Odluke Vlade RH o financiranju učeničkih marendi.</w:t>
      </w:r>
    </w:p>
    <w:p w14:paraId="0B2D855C" w14:textId="77777777" w:rsidR="008C0BE6" w:rsidRDefault="00D87834">
      <w:pPr>
        <w:pStyle w:val="Odlomakpopisa"/>
        <w:numPr>
          <w:ilvl w:val="0"/>
          <w:numId w:val="2"/>
        </w:numPr>
        <w:spacing w:after="200" w:line="276" w:lineRule="auto"/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Županijski proračun za refundaciju rashoda natjecanja i zavičajnu nastavu u iznosu od 4.300 eura.</w:t>
      </w:r>
    </w:p>
    <w:p w14:paraId="6C61CE0C" w14:textId="01BDAFAB" w:rsidR="008C0BE6" w:rsidRDefault="00D87834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Prihodi od upravnih i administrativnih pristojbi po posebnim propisima i naknada (65) </w:t>
      </w:r>
      <w:r>
        <w:rPr>
          <w:rFonts w:ascii="Arial" w:hAnsi="Arial" w:cs="Arial"/>
          <w:bCs/>
          <w:sz w:val="22"/>
        </w:rPr>
        <w:t>jesu prihodi naplaćeni od roditelja za usluge školske kuhinje. Za 202</w:t>
      </w:r>
      <w:r w:rsidR="002575F1">
        <w:rPr>
          <w:rFonts w:ascii="Arial" w:hAnsi="Arial" w:cs="Arial"/>
          <w:bCs/>
          <w:sz w:val="22"/>
        </w:rPr>
        <w:t>6</w:t>
      </w:r>
      <w:r>
        <w:rPr>
          <w:rFonts w:ascii="Arial" w:hAnsi="Arial" w:cs="Arial"/>
          <w:bCs/>
          <w:sz w:val="22"/>
        </w:rPr>
        <w:t xml:space="preserve">. godinu planirani </w:t>
      </w:r>
      <w:r>
        <w:rPr>
          <w:rFonts w:ascii="Arial" w:hAnsi="Arial" w:cs="Arial"/>
          <w:bCs/>
          <w:sz w:val="22"/>
        </w:rPr>
        <w:lastRenderedPageBreak/>
        <w:t>su u iznosu od 74.100 eura, a odnose se na sufinanciranje roditelja u rashodima produženog boravka.</w:t>
      </w:r>
      <w:r>
        <w:rPr>
          <w:rFonts w:ascii="Arial" w:hAnsi="Arial" w:cs="Arial"/>
          <w:sz w:val="22"/>
        </w:rPr>
        <w:t xml:space="preserve"> </w:t>
      </w:r>
    </w:p>
    <w:p w14:paraId="7F2A81F7" w14:textId="77777777" w:rsidR="008C0BE6" w:rsidRDefault="008C0BE6">
      <w:pPr>
        <w:pStyle w:val="Odlomakpopisa"/>
        <w:ind w:left="360"/>
        <w:jc w:val="both"/>
        <w:rPr>
          <w:rFonts w:ascii="Arial" w:hAnsi="Arial" w:cs="Arial"/>
          <w:color w:val="FF0000"/>
          <w:sz w:val="22"/>
        </w:rPr>
      </w:pPr>
    </w:p>
    <w:p w14:paraId="1CC8D83E" w14:textId="77777777" w:rsidR="008C0BE6" w:rsidRDefault="00D87834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>Prihodi od prodaje proizvoda i robe te pruženih usluga i prihoda od donacija (66)</w:t>
      </w:r>
    </w:p>
    <w:p w14:paraId="601C9192" w14:textId="77777777" w:rsidR="008C0BE6" w:rsidRDefault="00D87834">
      <w:pPr>
        <w:pStyle w:val="Odlomakpopisa"/>
        <w:numPr>
          <w:ilvl w:val="1"/>
          <w:numId w:val="1"/>
        </w:numPr>
        <w:spacing w:after="20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Prihodi od prodaje proizvoda i robe te pruženih usluga odnose se na iznajmljivanje školskih prostorija i sportske dvorane te krovne površine za solarne panele i planirani su u iznosu od 2.500,00 eura</w:t>
      </w:r>
    </w:p>
    <w:p w14:paraId="43098014" w14:textId="77777777" w:rsidR="008C0BE6" w:rsidRDefault="00D87834">
      <w:pPr>
        <w:pStyle w:val="Odlomakpopisa"/>
        <w:numPr>
          <w:ilvl w:val="1"/>
          <w:numId w:val="1"/>
        </w:numPr>
        <w:spacing w:after="200" w:line="276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Prihodi od donacija fizičkih i pravnih osoba planirani su u iznosu od 1.000,00 eura, a rasporediti će se na rashode za nabavu nefinancijske imovine i materijalne rashode. </w:t>
      </w:r>
    </w:p>
    <w:p w14:paraId="5E836AA3" w14:textId="77777777" w:rsidR="008C0BE6" w:rsidRDefault="008C0BE6">
      <w:pPr>
        <w:pStyle w:val="Odlomakpopisa"/>
        <w:ind w:left="1440"/>
        <w:jc w:val="both"/>
        <w:rPr>
          <w:rFonts w:ascii="Arial" w:hAnsi="Arial" w:cs="Arial"/>
          <w:b/>
          <w:color w:val="FF0000"/>
          <w:sz w:val="22"/>
        </w:rPr>
      </w:pPr>
    </w:p>
    <w:p w14:paraId="729ED437" w14:textId="77777777" w:rsidR="008C0BE6" w:rsidRDefault="00D87834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Prihodi iz nadležnog proračuna i decentralizirana sredstva (67)</w:t>
      </w:r>
    </w:p>
    <w:p w14:paraId="52403C7D" w14:textId="77777777" w:rsidR="008C0BE6" w:rsidRDefault="00D87834">
      <w:pPr>
        <w:pStyle w:val="Odlomakpopisa"/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Prihodi iz nadležnog proračuna za financiranje redovne djelatnosti planirani su u iznosu od 123.000 eura za financiranje rashoda za redovnu djelatnost Škole iz decentralizacija te 219.700 eura iz Grada za plaće djelatnika u produženom boravku, sufinanciranja plaća PUN i  učitelja koji provode program Građanskog odgoja </w:t>
      </w:r>
    </w:p>
    <w:p w14:paraId="055D60A7" w14:textId="77777777" w:rsidR="008C0BE6" w:rsidRDefault="008C0BE6">
      <w:pPr>
        <w:pStyle w:val="Odlomakpopisa"/>
        <w:ind w:left="360"/>
        <w:jc w:val="both"/>
        <w:rPr>
          <w:rFonts w:ascii="Arial" w:hAnsi="Arial" w:cs="Arial"/>
          <w:color w:val="FF0000"/>
          <w:sz w:val="22"/>
          <w:highlight w:val="yellow"/>
        </w:rPr>
      </w:pPr>
    </w:p>
    <w:p w14:paraId="6A51A6F4" w14:textId="77777777" w:rsidR="008C0BE6" w:rsidRDefault="00D8783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OBRAZLOŽENJE RASHODA I IZDATAKA</w:t>
      </w:r>
    </w:p>
    <w:p w14:paraId="597ED8FF" w14:textId="77777777" w:rsidR="008C0BE6" w:rsidRDefault="00D8783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Rashodi i izdaci poslovanja planirani su visini 2.021.070 eura </w:t>
      </w:r>
    </w:p>
    <w:p w14:paraId="7257A03A" w14:textId="77777777" w:rsidR="008C0BE6" w:rsidRDefault="00D87834">
      <w:pPr>
        <w:jc w:val="both"/>
        <w:rPr>
          <w:rFonts w:ascii="Arial" w:hAnsi="Arial" w:cs="Arial"/>
          <w:b/>
          <w:sz w:val="22"/>
          <w:highlight w:val="yellow"/>
        </w:rPr>
      </w:pPr>
      <w:r>
        <w:rPr>
          <w:rFonts w:ascii="Arial" w:hAnsi="Arial" w:cs="Arial"/>
          <w:b/>
          <w:sz w:val="22"/>
        </w:rPr>
        <w:t xml:space="preserve">Rashodi za zaposlene (31) </w:t>
      </w:r>
      <w:r>
        <w:rPr>
          <w:rFonts w:ascii="Arial" w:hAnsi="Arial" w:cs="Arial"/>
          <w:sz w:val="22"/>
        </w:rPr>
        <w:t>planirani su u iznosu od 1.632.970 eura do povećanja dolazi radi povećanja osnovice za obračun plaće.</w:t>
      </w:r>
    </w:p>
    <w:p w14:paraId="26AAB8FF" w14:textId="77777777" w:rsidR="008C0BE6" w:rsidRDefault="00D8783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Materijalni rashodi (32)</w:t>
      </w:r>
      <w:r>
        <w:rPr>
          <w:rFonts w:ascii="Arial" w:hAnsi="Arial" w:cs="Arial"/>
          <w:sz w:val="22"/>
        </w:rPr>
        <w:t xml:space="preserve"> planirani su u iznosu od 349.900 eura, a čine ih:</w:t>
      </w:r>
    </w:p>
    <w:p w14:paraId="7E87E613" w14:textId="77777777" w:rsidR="008C0BE6" w:rsidRDefault="00D87834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Naknade troškova zaposlenima u planiranom iznosu od 53.550 eura te odnose se na prijevoz zaposlenika, stručno usavršavanje zaposlenika te naknade za službena putovanja.</w:t>
      </w:r>
    </w:p>
    <w:p w14:paraId="3E926622" w14:textId="77777777" w:rsidR="008C0BE6" w:rsidRDefault="00D87834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Rashodi za materijal i energiju planirani su u iznosu od 175.028 eura. Planirani će se iznos utrošiti najvećim dijelom na rashode grijanja i rashode materijala i sirovina za pripremu obroka, zatim na sredstva za čišćenje i higijenske potrepštine, materijal za tekuće održavanje, sitan inventar kao nastavna pomagala i ostalo.</w:t>
      </w:r>
    </w:p>
    <w:p w14:paraId="1164EA51" w14:textId="77777777" w:rsidR="008C0BE6" w:rsidRDefault="00D87834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Rashodi za usluge u planiranom iznosu od 107.000 eura. Rashode za usluge većim dijelom čine usluge prijevoza učenika školskim autobusom, zatim su tu usluge popravaka i tekućeg održavanja, komunalne i računalne usluge,  usluge telefona i pošte i drugo. </w:t>
      </w:r>
    </w:p>
    <w:p w14:paraId="677DCF3C" w14:textId="77777777" w:rsidR="008C0BE6" w:rsidRDefault="00D87834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Ostali nespomenuti rashodi u planiranom iznosu od 18.340 eura jesu premije osiguranja zaposlenika i imovine, članarine, naknade za nezapošljavanje invalida, te rashodi za natjecanja učenika</w:t>
      </w:r>
    </w:p>
    <w:p w14:paraId="60841845" w14:textId="77777777" w:rsidR="008C0BE6" w:rsidRDefault="00D8783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Rashodi za ostale naknade građanima i kućanstvima(37)</w:t>
      </w:r>
      <w:r>
        <w:rPr>
          <w:rFonts w:ascii="Arial" w:hAnsi="Arial" w:cs="Arial"/>
          <w:sz w:val="22"/>
        </w:rPr>
        <w:t xml:space="preserve"> u naravi i iznos od 14.000 eura odnosi se na radne udžbenike učenika kao dio obveznih udžbenika i ne prenosi se na slijedeće generacije već se rashoduje, a financira se iz sredstva MZO prema Odluci Vlade RH o financiranju obveznih udžbenika.</w:t>
      </w:r>
    </w:p>
    <w:p w14:paraId="46A40959" w14:textId="77777777" w:rsidR="008C0BE6" w:rsidRDefault="00D8783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Rashodi za tekuće donacije u naravi(38)</w:t>
      </w:r>
      <w:r>
        <w:rPr>
          <w:rFonts w:ascii="Arial" w:hAnsi="Arial" w:cs="Arial"/>
          <w:sz w:val="22"/>
        </w:rPr>
        <w:t xml:space="preserve"> u iznosu od 800 eura odnosi se na higijenske potrepštine koje prema Odluci Vlade RH Škola kupuje svojim učenicama.</w:t>
      </w:r>
    </w:p>
    <w:p w14:paraId="1E0785F5" w14:textId="77777777" w:rsidR="008C0BE6" w:rsidRDefault="00D8783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lastRenderedPageBreak/>
        <w:t xml:space="preserve">Rashodi za nabavu nefinancijske imovine </w:t>
      </w:r>
      <w:r>
        <w:rPr>
          <w:rFonts w:ascii="Arial" w:hAnsi="Arial" w:cs="Arial"/>
          <w:sz w:val="22"/>
        </w:rPr>
        <w:t>planirani su u iznosu od 23.400 eura od toga 21.000 eura planira se utrošiti u nabavku video nadzora za igralište, obnovu plinske stanice i opreme za učionice dok 2.400 eura za nabavku obveznih udžbenika i knjiga.</w:t>
      </w:r>
    </w:p>
    <w:p w14:paraId="741A257F" w14:textId="439D4034" w:rsidR="009D5ECE" w:rsidRPr="009D5ECE" w:rsidRDefault="00D87834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Pregled prihoda i primitaka, rashoda i izdataka te rezultata poslovanja prema izvorima financiranja za 202</w:t>
      </w:r>
      <w:r w:rsidR="008B14FC">
        <w:rPr>
          <w:rFonts w:ascii="Arial" w:hAnsi="Arial" w:cs="Arial"/>
          <w:b/>
          <w:sz w:val="22"/>
        </w:rPr>
        <w:t>6</w:t>
      </w:r>
      <w:r>
        <w:rPr>
          <w:rFonts w:ascii="Arial" w:hAnsi="Arial" w:cs="Arial"/>
          <w:b/>
          <w:sz w:val="22"/>
        </w:rPr>
        <w:t>. godinu</w:t>
      </w:r>
      <w:r w:rsidR="009D5ECE">
        <w:fldChar w:fldCharType="begin"/>
      </w:r>
      <w:r w:rsidR="009D5ECE">
        <w:instrText xml:space="preserve"> LINK Excel.Sheet.12 "Knjiga1" "List1!R1C1:R31C3" \a \f 4 \h  \* MERGEFORMAT </w:instrText>
      </w:r>
      <w:r w:rsidR="009D5ECE">
        <w:fldChar w:fldCharType="separate"/>
      </w:r>
    </w:p>
    <w:tbl>
      <w:tblPr>
        <w:tblW w:w="8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694"/>
        <w:gridCol w:w="1969"/>
      </w:tblGrid>
      <w:tr w:rsidR="009D5ECE" w:rsidRPr="009D5ECE" w14:paraId="6F636DAB" w14:textId="77777777" w:rsidTr="009D5ECE">
        <w:trPr>
          <w:trHeight w:val="300"/>
        </w:trPr>
        <w:tc>
          <w:tcPr>
            <w:tcW w:w="3397" w:type="dxa"/>
            <w:shd w:val="clear" w:color="000000" w:fill="D9D9D9"/>
            <w:vAlign w:val="center"/>
            <w:hideMark/>
          </w:tcPr>
          <w:p w14:paraId="209F87BA" w14:textId="24D0AA18" w:rsidR="009D5ECE" w:rsidRPr="009D5ECE" w:rsidRDefault="009D5ECE" w:rsidP="009D5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2694" w:type="dxa"/>
            <w:shd w:val="clear" w:color="000000" w:fill="D9D9D9"/>
            <w:vAlign w:val="center"/>
            <w:hideMark/>
          </w:tcPr>
          <w:p w14:paraId="23269FD9" w14:textId="77777777" w:rsidR="009D5ECE" w:rsidRPr="009D5ECE" w:rsidRDefault="009D5ECE" w:rsidP="009D5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969" w:type="dxa"/>
            <w:shd w:val="clear" w:color="000000" w:fill="D9D9D9"/>
            <w:vAlign w:val="center"/>
            <w:hideMark/>
          </w:tcPr>
          <w:p w14:paraId="1BCF00EE" w14:textId="77777777" w:rsidR="009D5ECE" w:rsidRPr="009D5ECE" w:rsidRDefault="009D5ECE" w:rsidP="009D5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za 2026.</w:t>
            </w:r>
          </w:p>
        </w:tc>
      </w:tr>
      <w:tr w:rsidR="009D5ECE" w:rsidRPr="009D5ECE" w14:paraId="31303B20" w14:textId="77777777" w:rsidTr="009D5ECE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547336B3" w14:textId="77777777" w:rsidR="009D5ECE" w:rsidRPr="009D5ECE" w:rsidRDefault="009D5ECE" w:rsidP="009D5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63065B59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2.040.449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14:paraId="05EB5BDF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2.017.570</w:t>
            </w:r>
          </w:p>
        </w:tc>
      </w:tr>
      <w:tr w:rsidR="009D5ECE" w:rsidRPr="009D5ECE" w14:paraId="076FD9E9" w14:textId="77777777" w:rsidTr="009D5ECE">
        <w:trPr>
          <w:trHeight w:val="300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22590E8C" w14:textId="77777777" w:rsidR="009D5ECE" w:rsidRPr="009D5ECE" w:rsidRDefault="009D5ECE" w:rsidP="009D5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 Opći prihodi i primici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D8FD51E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211.840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14:paraId="21EFCBF2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219.700</w:t>
            </w:r>
          </w:p>
        </w:tc>
      </w:tr>
      <w:tr w:rsidR="009D5ECE" w:rsidRPr="009D5ECE" w14:paraId="4939373E" w14:textId="77777777" w:rsidTr="009D5ECE">
        <w:trPr>
          <w:trHeight w:val="300"/>
        </w:trPr>
        <w:tc>
          <w:tcPr>
            <w:tcW w:w="3397" w:type="dxa"/>
            <w:shd w:val="clear" w:color="000000" w:fill="FFFFFF"/>
            <w:noWrap/>
            <w:vAlign w:val="center"/>
            <w:hideMark/>
          </w:tcPr>
          <w:p w14:paraId="69076EB3" w14:textId="77777777" w:rsidR="009D5ECE" w:rsidRPr="009D5ECE" w:rsidRDefault="009D5ECE" w:rsidP="009D5E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 11 Opći prihodi i primici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D2EA590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211.840</w:t>
            </w:r>
          </w:p>
        </w:tc>
        <w:tc>
          <w:tcPr>
            <w:tcW w:w="1969" w:type="dxa"/>
            <w:shd w:val="clear" w:color="000000" w:fill="FFFFFF"/>
            <w:noWrap/>
            <w:vAlign w:val="center"/>
            <w:hideMark/>
          </w:tcPr>
          <w:p w14:paraId="61926BAA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219.700</w:t>
            </w:r>
          </w:p>
        </w:tc>
      </w:tr>
      <w:tr w:rsidR="009D5ECE" w:rsidRPr="009D5ECE" w14:paraId="7DF6557C" w14:textId="77777777" w:rsidTr="009D5ECE">
        <w:trPr>
          <w:trHeight w:val="300"/>
        </w:trPr>
        <w:tc>
          <w:tcPr>
            <w:tcW w:w="3397" w:type="dxa"/>
            <w:shd w:val="clear" w:color="000000" w:fill="FFFFFF"/>
            <w:noWrap/>
            <w:vAlign w:val="center"/>
            <w:hideMark/>
          </w:tcPr>
          <w:p w14:paraId="3309213D" w14:textId="77777777" w:rsidR="009D5ECE" w:rsidRPr="009D5ECE" w:rsidRDefault="009D5ECE" w:rsidP="009D5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VLASTITI PRIHODI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04CE13A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</w:t>
            </w:r>
          </w:p>
        </w:tc>
        <w:tc>
          <w:tcPr>
            <w:tcW w:w="1969" w:type="dxa"/>
            <w:shd w:val="clear" w:color="000000" w:fill="FFFFFF"/>
            <w:noWrap/>
            <w:vAlign w:val="center"/>
            <w:hideMark/>
          </w:tcPr>
          <w:p w14:paraId="20692D2A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</w:t>
            </w:r>
          </w:p>
        </w:tc>
      </w:tr>
      <w:tr w:rsidR="009D5ECE" w:rsidRPr="009D5ECE" w14:paraId="3BA45CEA" w14:textId="77777777" w:rsidTr="009D5ECE">
        <w:trPr>
          <w:trHeight w:val="300"/>
        </w:trPr>
        <w:tc>
          <w:tcPr>
            <w:tcW w:w="3397" w:type="dxa"/>
            <w:shd w:val="clear" w:color="000000" w:fill="FFFFFF"/>
            <w:noWrap/>
            <w:vAlign w:val="center"/>
            <w:hideMark/>
          </w:tcPr>
          <w:p w14:paraId="6E3A6B3B" w14:textId="77777777" w:rsidR="009D5ECE" w:rsidRPr="009D5ECE" w:rsidRDefault="009D5ECE" w:rsidP="009D5E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 '39 Vlastiti prihodi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230B9EF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3.500</w:t>
            </w:r>
          </w:p>
        </w:tc>
        <w:tc>
          <w:tcPr>
            <w:tcW w:w="1969" w:type="dxa"/>
            <w:shd w:val="clear" w:color="000000" w:fill="FFFFFF"/>
            <w:noWrap/>
            <w:vAlign w:val="center"/>
            <w:hideMark/>
          </w:tcPr>
          <w:p w14:paraId="3259D746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</w:t>
            </w:r>
          </w:p>
        </w:tc>
      </w:tr>
      <w:tr w:rsidR="009D5ECE" w:rsidRPr="009D5ECE" w14:paraId="14BB4F47" w14:textId="77777777" w:rsidTr="009D5ECE">
        <w:trPr>
          <w:trHeight w:val="510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6E91EE8C" w14:textId="77777777" w:rsidR="009D5ECE" w:rsidRPr="009D5ECE" w:rsidRDefault="009D5ECE" w:rsidP="009D5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Prihodi za posebne namjene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F795509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77.750</w:t>
            </w:r>
          </w:p>
        </w:tc>
        <w:tc>
          <w:tcPr>
            <w:tcW w:w="1969" w:type="dxa"/>
            <w:shd w:val="clear" w:color="000000" w:fill="FFFFFF"/>
            <w:noWrap/>
            <w:vAlign w:val="center"/>
            <w:hideMark/>
          </w:tcPr>
          <w:p w14:paraId="1CC034EE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74.100</w:t>
            </w:r>
          </w:p>
        </w:tc>
      </w:tr>
      <w:tr w:rsidR="009D5ECE" w:rsidRPr="009D5ECE" w14:paraId="36955343" w14:textId="77777777" w:rsidTr="009D5ECE">
        <w:trPr>
          <w:trHeight w:val="510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70DD0ED6" w14:textId="77777777" w:rsidR="009D5ECE" w:rsidRPr="009D5ECE" w:rsidRDefault="009D5ECE" w:rsidP="009D5E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 49 Prihodi za posebne namjene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B8F22D9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77.750</w:t>
            </w:r>
          </w:p>
        </w:tc>
        <w:tc>
          <w:tcPr>
            <w:tcW w:w="1969" w:type="dxa"/>
            <w:shd w:val="clear" w:color="000000" w:fill="FFFFFF"/>
            <w:noWrap/>
            <w:vAlign w:val="center"/>
            <w:hideMark/>
          </w:tcPr>
          <w:p w14:paraId="6D38C974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74.100</w:t>
            </w:r>
          </w:p>
        </w:tc>
      </w:tr>
      <w:tr w:rsidR="009D5ECE" w:rsidRPr="009D5ECE" w14:paraId="36CCEEDB" w14:textId="77777777" w:rsidTr="009D5ECE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19A80F61" w14:textId="77777777" w:rsidR="009D5ECE" w:rsidRPr="009D5ECE" w:rsidRDefault="009D5ECE" w:rsidP="009D5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 Pomoći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F62AE24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1.739.159</w:t>
            </w:r>
          </w:p>
        </w:tc>
        <w:tc>
          <w:tcPr>
            <w:tcW w:w="1969" w:type="dxa"/>
            <w:shd w:val="clear" w:color="000000" w:fill="FFFFFF"/>
            <w:noWrap/>
            <w:vAlign w:val="center"/>
            <w:hideMark/>
          </w:tcPr>
          <w:p w14:paraId="67BF73DE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1.720.270</w:t>
            </w:r>
          </w:p>
        </w:tc>
      </w:tr>
      <w:tr w:rsidR="009D5ECE" w:rsidRPr="009D5ECE" w14:paraId="309FDD9E" w14:textId="77777777" w:rsidTr="009D5ECE">
        <w:trPr>
          <w:trHeight w:val="765"/>
        </w:trPr>
        <w:tc>
          <w:tcPr>
            <w:tcW w:w="3397" w:type="dxa"/>
            <w:shd w:val="clear" w:color="auto" w:fill="auto"/>
            <w:vAlign w:val="center"/>
            <w:hideMark/>
          </w:tcPr>
          <w:p w14:paraId="6EF40DEA" w14:textId="77777777" w:rsidR="009D5ECE" w:rsidRPr="009D5ECE" w:rsidRDefault="009D5ECE" w:rsidP="009D5E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5.0.111 pomoći decentralizirana sred (od 1.1.2026.)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3C6B95A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69" w:type="dxa"/>
            <w:shd w:val="clear" w:color="000000" w:fill="FFFFFF"/>
            <w:noWrap/>
            <w:vAlign w:val="center"/>
            <w:hideMark/>
          </w:tcPr>
          <w:p w14:paraId="19C1888A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123.000</w:t>
            </w:r>
          </w:p>
        </w:tc>
      </w:tr>
      <w:tr w:rsidR="009D5ECE" w:rsidRPr="009D5ECE" w14:paraId="28265871" w14:textId="77777777" w:rsidTr="009D5ECE">
        <w:trPr>
          <w:trHeight w:val="765"/>
        </w:trPr>
        <w:tc>
          <w:tcPr>
            <w:tcW w:w="3397" w:type="dxa"/>
            <w:shd w:val="clear" w:color="auto" w:fill="auto"/>
            <w:vAlign w:val="center"/>
            <w:hideMark/>
          </w:tcPr>
          <w:p w14:paraId="0005B4D1" w14:textId="77777777" w:rsidR="009D5ECE" w:rsidRPr="009D5ECE" w:rsidRDefault="009D5ECE" w:rsidP="009D5E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5.1.001 pomoći decentralizirana sred (do 31.12.2025.)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5F6752A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123.673</w:t>
            </w:r>
          </w:p>
        </w:tc>
        <w:tc>
          <w:tcPr>
            <w:tcW w:w="1969" w:type="dxa"/>
            <w:shd w:val="clear" w:color="000000" w:fill="FFFFFF"/>
            <w:noWrap/>
            <w:vAlign w:val="center"/>
            <w:hideMark/>
          </w:tcPr>
          <w:p w14:paraId="0AF9B1CA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D5ECE" w:rsidRPr="009D5ECE" w14:paraId="02FF7ED2" w14:textId="77777777" w:rsidTr="009D5ECE">
        <w:trPr>
          <w:trHeight w:val="300"/>
        </w:trPr>
        <w:tc>
          <w:tcPr>
            <w:tcW w:w="3397" w:type="dxa"/>
            <w:shd w:val="clear" w:color="000000" w:fill="FFFFFF"/>
            <w:noWrap/>
            <w:vAlign w:val="center"/>
            <w:hideMark/>
          </w:tcPr>
          <w:p w14:paraId="621BBA85" w14:textId="77777777" w:rsidR="009D5ECE" w:rsidRPr="009D5ECE" w:rsidRDefault="009D5ECE" w:rsidP="009D5E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 59 Pomoći prihodi korisnika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CCF677E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1.615.486</w:t>
            </w:r>
          </w:p>
        </w:tc>
        <w:tc>
          <w:tcPr>
            <w:tcW w:w="1969" w:type="dxa"/>
            <w:shd w:val="clear" w:color="000000" w:fill="FFFFFF"/>
            <w:noWrap/>
            <w:vAlign w:val="center"/>
            <w:hideMark/>
          </w:tcPr>
          <w:p w14:paraId="1BC22B30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1.597.270</w:t>
            </w:r>
          </w:p>
        </w:tc>
      </w:tr>
      <w:tr w:rsidR="009D5ECE" w:rsidRPr="009D5ECE" w14:paraId="03FB69F2" w14:textId="77777777" w:rsidTr="009D5ECE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1EB1027A" w14:textId="77777777" w:rsidR="009D5ECE" w:rsidRPr="009D5ECE" w:rsidRDefault="009D5ECE" w:rsidP="009D5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 Donacije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7B8C10B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8.200</w:t>
            </w:r>
          </w:p>
        </w:tc>
        <w:tc>
          <w:tcPr>
            <w:tcW w:w="1969" w:type="dxa"/>
            <w:shd w:val="clear" w:color="000000" w:fill="FFFFFF"/>
            <w:noWrap/>
            <w:vAlign w:val="center"/>
            <w:hideMark/>
          </w:tcPr>
          <w:p w14:paraId="55D26862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9D5ECE" w:rsidRPr="009D5ECE" w14:paraId="74595C9C" w14:textId="77777777" w:rsidTr="009D5ECE">
        <w:trPr>
          <w:trHeight w:val="300"/>
        </w:trPr>
        <w:tc>
          <w:tcPr>
            <w:tcW w:w="3397" w:type="dxa"/>
            <w:shd w:val="clear" w:color="000000" w:fill="FFFFFF"/>
            <w:noWrap/>
            <w:vAlign w:val="center"/>
            <w:hideMark/>
          </w:tcPr>
          <w:p w14:paraId="5F1C236E" w14:textId="77777777" w:rsidR="009D5ECE" w:rsidRPr="009D5ECE" w:rsidRDefault="009D5ECE" w:rsidP="009D5E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 69 Donacije-prihodi korisnika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5882DD8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8.200</w:t>
            </w:r>
          </w:p>
        </w:tc>
        <w:tc>
          <w:tcPr>
            <w:tcW w:w="1969" w:type="dxa"/>
            <w:shd w:val="clear" w:color="000000" w:fill="FFFFFF"/>
            <w:noWrap/>
            <w:vAlign w:val="center"/>
            <w:hideMark/>
          </w:tcPr>
          <w:p w14:paraId="64538D1C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9D5ECE" w:rsidRPr="009D5ECE" w14:paraId="08094646" w14:textId="77777777" w:rsidTr="009D5ECE">
        <w:trPr>
          <w:trHeight w:val="300"/>
        </w:trPr>
        <w:tc>
          <w:tcPr>
            <w:tcW w:w="3397" w:type="dxa"/>
            <w:shd w:val="clear" w:color="000000" w:fill="FFFFFF"/>
            <w:noWrap/>
            <w:vAlign w:val="center"/>
            <w:hideMark/>
          </w:tcPr>
          <w:p w14:paraId="2342CD07" w14:textId="77777777" w:rsidR="009D5ECE" w:rsidRPr="009D5ECE" w:rsidRDefault="009D5ECE" w:rsidP="009D5E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54C03EDD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69" w:type="dxa"/>
            <w:shd w:val="clear" w:color="000000" w:fill="FFFFFF"/>
            <w:noWrap/>
            <w:vAlign w:val="center"/>
            <w:hideMark/>
          </w:tcPr>
          <w:p w14:paraId="6E387C66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D5ECE" w:rsidRPr="009D5ECE" w14:paraId="402485FC" w14:textId="77777777" w:rsidTr="009D5ECE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66D9B096" w14:textId="77777777" w:rsidR="009D5ECE" w:rsidRPr="009D5ECE" w:rsidRDefault="009D5ECE" w:rsidP="009D5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8585D6F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2.040.115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14:paraId="0105373B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2.021.070</w:t>
            </w:r>
          </w:p>
        </w:tc>
      </w:tr>
      <w:tr w:rsidR="009D5ECE" w:rsidRPr="009D5ECE" w14:paraId="285C8190" w14:textId="77777777" w:rsidTr="009D5ECE">
        <w:trPr>
          <w:trHeight w:val="300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5434ED30" w14:textId="77777777" w:rsidR="009D5ECE" w:rsidRPr="009D5ECE" w:rsidRDefault="009D5ECE" w:rsidP="009D5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 Opći prihodi i primici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D7C2B2C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202.050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14:paraId="6F90FD90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219.700</w:t>
            </w:r>
          </w:p>
        </w:tc>
      </w:tr>
      <w:tr w:rsidR="009D5ECE" w:rsidRPr="009D5ECE" w14:paraId="0610A199" w14:textId="77777777" w:rsidTr="009D5ECE">
        <w:trPr>
          <w:trHeight w:val="300"/>
        </w:trPr>
        <w:tc>
          <w:tcPr>
            <w:tcW w:w="3397" w:type="dxa"/>
            <w:shd w:val="clear" w:color="000000" w:fill="FFFFFF"/>
            <w:noWrap/>
            <w:vAlign w:val="center"/>
            <w:hideMark/>
          </w:tcPr>
          <w:p w14:paraId="7FE33BB6" w14:textId="77777777" w:rsidR="009D5ECE" w:rsidRPr="009D5ECE" w:rsidRDefault="009D5ECE" w:rsidP="009D5E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 11 Opći prihodi i primici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B76C37B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202.050</w:t>
            </w:r>
          </w:p>
        </w:tc>
        <w:tc>
          <w:tcPr>
            <w:tcW w:w="1969" w:type="dxa"/>
            <w:shd w:val="clear" w:color="000000" w:fill="FFFFFF"/>
            <w:noWrap/>
            <w:vAlign w:val="center"/>
            <w:hideMark/>
          </w:tcPr>
          <w:p w14:paraId="26362405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219.700</w:t>
            </w:r>
          </w:p>
        </w:tc>
      </w:tr>
      <w:tr w:rsidR="009D5ECE" w:rsidRPr="009D5ECE" w14:paraId="67A93A72" w14:textId="77777777" w:rsidTr="009D5ECE">
        <w:trPr>
          <w:trHeight w:val="300"/>
        </w:trPr>
        <w:tc>
          <w:tcPr>
            <w:tcW w:w="3397" w:type="dxa"/>
            <w:shd w:val="clear" w:color="000000" w:fill="FFFFFF"/>
            <w:noWrap/>
            <w:vAlign w:val="center"/>
            <w:hideMark/>
          </w:tcPr>
          <w:p w14:paraId="47140C86" w14:textId="77777777" w:rsidR="009D5ECE" w:rsidRPr="009D5ECE" w:rsidRDefault="009D5ECE" w:rsidP="009D5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VLASTITI PRIHODI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67315562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5.235</w:t>
            </w:r>
          </w:p>
        </w:tc>
        <w:tc>
          <w:tcPr>
            <w:tcW w:w="1969" w:type="dxa"/>
            <w:shd w:val="clear" w:color="000000" w:fill="FFFFFF"/>
            <w:noWrap/>
            <w:vAlign w:val="center"/>
            <w:hideMark/>
          </w:tcPr>
          <w:p w14:paraId="6AA56F3C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3.500</w:t>
            </w:r>
          </w:p>
        </w:tc>
      </w:tr>
      <w:tr w:rsidR="009D5ECE" w:rsidRPr="009D5ECE" w14:paraId="360935A2" w14:textId="77777777" w:rsidTr="009D5ECE">
        <w:trPr>
          <w:trHeight w:val="300"/>
        </w:trPr>
        <w:tc>
          <w:tcPr>
            <w:tcW w:w="3397" w:type="dxa"/>
            <w:shd w:val="clear" w:color="000000" w:fill="FFFFFF"/>
            <w:noWrap/>
            <w:vAlign w:val="center"/>
            <w:hideMark/>
          </w:tcPr>
          <w:p w14:paraId="62340599" w14:textId="77777777" w:rsidR="009D5ECE" w:rsidRPr="009D5ECE" w:rsidRDefault="009D5ECE" w:rsidP="009D5E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 '39 Vlastiti prihodi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0C7A4CA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5.235</w:t>
            </w:r>
          </w:p>
        </w:tc>
        <w:tc>
          <w:tcPr>
            <w:tcW w:w="1969" w:type="dxa"/>
            <w:shd w:val="clear" w:color="000000" w:fill="FFFFFF"/>
            <w:noWrap/>
            <w:vAlign w:val="center"/>
            <w:hideMark/>
          </w:tcPr>
          <w:p w14:paraId="06098392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3.500</w:t>
            </w:r>
          </w:p>
        </w:tc>
      </w:tr>
      <w:tr w:rsidR="009D5ECE" w:rsidRPr="009D5ECE" w14:paraId="7427D77A" w14:textId="77777777" w:rsidTr="009D5ECE">
        <w:trPr>
          <w:trHeight w:val="510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1A5B52AA" w14:textId="77777777" w:rsidR="009D5ECE" w:rsidRPr="009D5ECE" w:rsidRDefault="009D5ECE" w:rsidP="009D5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Prihodi za posebne namjene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C7F10EF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82.042</w:t>
            </w:r>
          </w:p>
        </w:tc>
        <w:tc>
          <w:tcPr>
            <w:tcW w:w="1969" w:type="dxa"/>
            <w:shd w:val="clear" w:color="000000" w:fill="FFFFFF"/>
            <w:noWrap/>
            <w:vAlign w:val="center"/>
            <w:hideMark/>
          </w:tcPr>
          <w:p w14:paraId="71B97E1B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76.600</w:t>
            </w:r>
          </w:p>
        </w:tc>
      </w:tr>
      <w:tr w:rsidR="009D5ECE" w:rsidRPr="009D5ECE" w14:paraId="5659CBF9" w14:textId="77777777" w:rsidTr="009D5ECE">
        <w:trPr>
          <w:trHeight w:val="510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37826552" w14:textId="77777777" w:rsidR="009D5ECE" w:rsidRPr="009D5ECE" w:rsidRDefault="009D5ECE" w:rsidP="009D5E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 49 Prihodi za posebne namjene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075DA53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82.042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14:paraId="64456C54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76.600</w:t>
            </w:r>
          </w:p>
        </w:tc>
      </w:tr>
      <w:tr w:rsidR="009D5ECE" w:rsidRPr="009D5ECE" w14:paraId="61E5A7DB" w14:textId="77777777" w:rsidTr="009D5ECE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4DF2FA28" w14:textId="77777777" w:rsidR="009D5ECE" w:rsidRPr="009D5ECE" w:rsidRDefault="009D5ECE" w:rsidP="009D5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 Pomoći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D739D2E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1.742.588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14:paraId="5761E6F2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1.720.270</w:t>
            </w:r>
          </w:p>
        </w:tc>
      </w:tr>
      <w:tr w:rsidR="009D5ECE" w:rsidRPr="009D5ECE" w14:paraId="0CE46F14" w14:textId="77777777" w:rsidTr="009D5ECE">
        <w:trPr>
          <w:trHeight w:val="765"/>
        </w:trPr>
        <w:tc>
          <w:tcPr>
            <w:tcW w:w="3397" w:type="dxa"/>
            <w:shd w:val="clear" w:color="auto" w:fill="auto"/>
            <w:vAlign w:val="center"/>
            <w:hideMark/>
          </w:tcPr>
          <w:p w14:paraId="42656383" w14:textId="77777777" w:rsidR="009D5ECE" w:rsidRPr="009D5ECE" w:rsidRDefault="009D5ECE" w:rsidP="009D5E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5.0.111 pomoći decentralizirana sred (od 1.1.2026.)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6A76218" w14:textId="77777777" w:rsidR="009D5ECE" w:rsidRPr="009D5ECE" w:rsidRDefault="009D5ECE" w:rsidP="009D5E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14:paraId="1E6B13D4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123.000</w:t>
            </w:r>
          </w:p>
        </w:tc>
      </w:tr>
      <w:tr w:rsidR="009D5ECE" w:rsidRPr="009D5ECE" w14:paraId="6AA0F350" w14:textId="77777777" w:rsidTr="009D5ECE">
        <w:trPr>
          <w:trHeight w:val="765"/>
        </w:trPr>
        <w:tc>
          <w:tcPr>
            <w:tcW w:w="3397" w:type="dxa"/>
            <w:shd w:val="clear" w:color="auto" w:fill="auto"/>
            <w:vAlign w:val="center"/>
            <w:hideMark/>
          </w:tcPr>
          <w:p w14:paraId="32861B8C" w14:textId="77777777" w:rsidR="009D5ECE" w:rsidRPr="009D5ECE" w:rsidRDefault="009D5ECE" w:rsidP="009D5E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5.1.001 pomoći decentralizirana sred (do 31.12.2025.)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DDB960F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122.978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14:paraId="4C18B33C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9D5ECE" w:rsidRPr="009D5ECE" w14:paraId="7A85D89D" w14:textId="77777777" w:rsidTr="009D5ECE">
        <w:trPr>
          <w:trHeight w:val="300"/>
        </w:trPr>
        <w:tc>
          <w:tcPr>
            <w:tcW w:w="3397" w:type="dxa"/>
            <w:shd w:val="clear" w:color="000000" w:fill="FFFFFF"/>
            <w:noWrap/>
            <w:vAlign w:val="center"/>
            <w:hideMark/>
          </w:tcPr>
          <w:p w14:paraId="3BA34131" w14:textId="77777777" w:rsidR="009D5ECE" w:rsidRPr="009D5ECE" w:rsidRDefault="009D5ECE" w:rsidP="009D5E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 59 Pomoći prihodi korisnika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108DBAE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1.619.610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14:paraId="4BE064BF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1.597.270</w:t>
            </w:r>
          </w:p>
        </w:tc>
      </w:tr>
      <w:tr w:rsidR="009D5ECE" w:rsidRPr="009D5ECE" w14:paraId="07C849ED" w14:textId="77777777" w:rsidTr="009D5ECE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7BD3F38C" w14:textId="77777777" w:rsidR="009D5ECE" w:rsidRPr="009D5ECE" w:rsidRDefault="009D5ECE" w:rsidP="009D5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 Donacije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D332D16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8.200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14:paraId="7F5555C4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9D5ECE" w:rsidRPr="009D5ECE" w14:paraId="5E1E33DF" w14:textId="77777777" w:rsidTr="009D5ECE">
        <w:trPr>
          <w:trHeight w:val="300"/>
        </w:trPr>
        <w:tc>
          <w:tcPr>
            <w:tcW w:w="3397" w:type="dxa"/>
            <w:shd w:val="clear" w:color="000000" w:fill="FFFFFF"/>
            <w:noWrap/>
            <w:vAlign w:val="center"/>
            <w:hideMark/>
          </w:tcPr>
          <w:p w14:paraId="29C8B72E" w14:textId="77777777" w:rsidR="009D5ECE" w:rsidRPr="009D5ECE" w:rsidRDefault="009D5ECE" w:rsidP="009D5E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 69 Donacije-prihodi korisnika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4282E63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8.200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14:paraId="64885B2A" w14:textId="77777777" w:rsidR="009D5ECE" w:rsidRPr="009D5ECE" w:rsidRDefault="009D5ECE" w:rsidP="009D5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9D5ECE" w:rsidRPr="009D5ECE" w14:paraId="71B06000" w14:textId="77777777" w:rsidTr="009D5ECE">
        <w:trPr>
          <w:trHeight w:val="510"/>
        </w:trPr>
        <w:tc>
          <w:tcPr>
            <w:tcW w:w="3397" w:type="dxa"/>
            <w:shd w:val="clear" w:color="auto" w:fill="auto"/>
            <w:vAlign w:val="center"/>
            <w:hideMark/>
          </w:tcPr>
          <w:p w14:paraId="47B8D524" w14:textId="77777777" w:rsidR="009D5ECE" w:rsidRPr="009D5ECE" w:rsidRDefault="009D5ECE" w:rsidP="009D5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 Prihodi od nefinancijske imovine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8D5ABD5" w14:textId="77777777" w:rsidR="009D5ECE" w:rsidRPr="009D5ECE" w:rsidRDefault="009D5ECE" w:rsidP="009D5E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D5E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14:paraId="582DD77B" w14:textId="77777777" w:rsidR="009D5ECE" w:rsidRPr="009D5ECE" w:rsidRDefault="009D5ECE" w:rsidP="009D5E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D5E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D5ECE" w:rsidRPr="009D5ECE" w14:paraId="63DF58CB" w14:textId="77777777" w:rsidTr="009D5ECE">
        <w:trPr>
          <w:trHeight w:val="141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165FC36F" w14:textId="77777777" w:rsidR="009D5ECE" w:rsidRPr="009D5ECE" w:rsidRDefault="009D5ECE" w:rsidP="009D5E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9D5EC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 79 Prihodi od nefinancijske imovine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2D92E4C" w14:textId="77777777" w:rsidR="009D5ECE" w:rsidRPr="009D5ECE" w:rsidRDefault="009D5ECE" w:rsidP="009D5E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D5E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14:paraId="10D20390" w14:textId="77777777" w:rsidR="009D5ECE" w:rsidRPr="009D5ECE" w:rsidRDefault="009D5ECE" w:rsidP="009D5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D5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14:paraId="45E712E1" w14:textId="59E90F9F" w:rsidR="008C0BE6" w:rsidRDefault="009D5ECE" w:rsidP="009D5ECE">
      <w:pPr>
        <w:jc w:val="both"/>
        <w:rPr>
          <w:rFonts w:ascii="Arial" w:eastAsia="Times New Roman" w:hAnsi="Arial" w:cs="Arial"/>
          <w:sz w:val="22"/>
          <w:u w:val="single"/>
          <w:lang w:eastAsia="hr-HR"/>
        </w:rPr>
      </w:pPr>
      <w:r>
        <w:rPr>
          <w:rFonts w:ascii="Arial" w:hAnsi="Arial" w:cs="Arial"/>
          <w:b/>
          <w:sz w:val="22"/>
        </w:rPr>
        <w:lastRenderedPageBreak/>
        <w:fldChar w:fldCharType="end"/>
      </w:r>
      <w:r w:rsidR="00D87834">
        <w:rPr>
          <w:rFonts w:ascii="Arial" w:eastAsia="Times New Roman" w:hAnsi="Arial" w:cs="Arial"/>
          <w:sz w:val="22"/>
          <w:u w:val="single"/>
          <w:lang w:eastAsia="hr-HR"/>
        </w:rPr>
        <w:t>Izvor 1.1.001 Opći prihodi i primici</w:t>
      </w:r>
    </w:p>
    <w:p w14:paraId="4CCC1E46" w14:textId="77777777" w:rsidR="008C0BE6" w:rsidRDefault="00D8783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2"/>
          <w:lang w:eastAsia="hr-HR"/>
        </w:rPr>
      </w:pPr>
      <w:r>
        <w:rPr>
          <w:rFonts w:ascii="Arial" w:eastAsia="Times New Roman" w:hAnsi="Arial" w:cs="Arial"/>
          <w:sz w:val="22"/>
          <w:lang w:eastAsia="hr-HR"/>
        </w:rPr>
        <w:t xml:space="preserve">Prihodi od nadležnog proračuna iznose od 219.700 eura, a pokrivaju rashode za 5 učiteljica zaposlenih u produženom boravku, 7 pomoćnika u nastavi zatim naknade učiteljima koji provode izvannastavni program Građanskog odgoja, rashode za namirnice kroz shemu školskog voća i rashode energije i računalne usluge te </w:t>
      </w:r>
      <w:r>
        <w:rPr>
          <w:rFonts w:ascii="Arial" w:hAnsi="Arial" w:cs="Arial"/>
          <w:sz w:val="22"/>
        </w:rPr>
        <w:t>u nabavku video nadzora za igralište, obnovu plinske stanice</w:t>
      </w:r>
      <w:r>
        <w:rPr>
          <w:rFonts w:ascii="Arial" w:eastAsia="Times New Roman" w:hAnsi="Arial" w:cs="Arial"/>
          <w:sz w:val="22"/>
          <w:lang w:eastAsia="hr-HR"/>
        </w:rPr>
        <w:t>.</w:t>
      </w:r>
    </w:p>
    <w:p w14:paraId="4DB249C8" w14:textId="77777777" w:rsidR="008C0BE6" w:rsidRDefault="008C0BE6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2"/>
          <w:highlight w:val="yellow"/>
          <w:lang w:eastAsia="hr-HR"/>
        </w:rPr>
      </w:pPr>
    </w:p>
    <w:p w14:paraId="4BC55C24" w14:textId="4D088473" w:rsidR="008C0BE6" w:rsidRDefault="00D8783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2"/>
          <w:u w:val="single"/>
          <w:lang w:eastAsia="hr-HR"/>
        </w:rPr>
      </w:pPr>
      <w:r>
        <w:rPr>
          <w:rFonts w:ascii="Arial" w:eastAsia="Times New Roman" w:hAnsi="Arial" w:cs="Arial"/>
          <w:sz w:val="22"/>
          <w:u w:val="single"/>
          <w:lang w:eastAsia="hr-HR"/>
        </w:rPr>
        <w:t>Izvor 5.1.001</w:t>
      </w:r>
      <w:r w:rsidR="009D5ECE">
        <w:rPr>
          <w:rFonts w:ascii="Arial" w:eastAsia="Times New Roman" w:hAnsi="Arial" w:cs="Arial"/>
          <w:sz w:val="22"/>
          <w:u w:val="single"/>
          <w:lang w:eastAsia="hr-HR"/>
        </w:rPr>
        <w:t xml:space="preserve"> odnosno 5.0.111 </w:t>
      </w:r>
      <w:r>
        <w:rPr>
          <w:rFonts w:ascii="Arial" w:eastAsia="Times New Roman" w:hAnsi="Arial" w:cs="Arial"/>
          <w:sz w:val="22"/>
          <w:u w:val="single"/>
          <w:lang w:eastAsia="hr-HR"/>
        </w:rPr>
        <w:t xml:space="preserve"> Prihod</w:t>
      </w:r>
      <w:r w:rsidR="009D5ECE">
        <w:rPr>
          <w:rFonts w:ascii="Arial" w:eastAsia="Times New Roman" w:hAnsi="Arial" w:cs="Arial"/>
          <w:sz w:val="22"/>
          <w:u w:val="single"/>
          <w:lang w:eastAsia="hr-HR"/>
        </w:rPr>
        <w:t>i</w:t>
      </w:r>
      <w:r>
        <w:rPr>
          <w:rFonts w:ascii="Arial" w:eastAsia="Times New Roman" w:hAnsi="Arial" w:cs="Arial"/>
          <w:sz w:val="22"/>
          <w:u w:val="single"/>
          <w:lang w:eastAsia="hr-HR"/>
        </w:rPr>
        <w:t xml:space="preserve"> za decentralizirane funkcije osnovnog obrazovanja</w:t>
      </w:r>
    </w:p>
    <w:p w14:paraId="4398F595" w14:textId="3277A59D" w:rsidR="009D5ECE" w:rsidRPr="009D5ECE" w:rsidRDefault="009D5E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lang w:eastAsia="hr-HR"/>
        </w:rPr>
      </w:pPr>
      <w:r w:rsidRPr="009D5ECE">
        <w:rPr>
          <w:rFonts w:ascii="Arial" w:hAnsi="Arial" w:cs="Arial"/>
          <w:sz w:val="22"/>
          <w:lang w:eastAsia="hr-HR"/>
        </w:rPr>
        <w:t>Pravilnik o proračunskim klasifikacijama («Narodne novine» br. 4/24 i 122/25)</w:t>
      </w:r>
      <w:r w:rsidRPr="009D5ECE">
        <w:rPr>
          <w:rFonts w:ascii="Arial" w:hAnsi="Arial" w:cs="Arial"/>
          <w:sz w:val="22"/>
          <w:lang w:eastAsia="hr-HR"/>
        </w:rPr>
        <w:t xml:space="preserve"> propisuje da se 1.1.2026. nove obavezne oznake izvora financiranja pa se tako izvor prihoda</w:t>
      </w:r>
      <w:r w:rsidRPr="009D5ECE">
        <w:rPr>
          <w:rFonts w:ascii="Arial" w:eastAsia="Times New Roman" w:hAnsi="Arial" w:cs="Arial"/>
          <w:sz w:val="22"/>
          <w:lang w:eastAsia="hr-HR"/>
        </w:rPr>
        <w:t xml:space="preserve"> </w:t>
      </w:r>
      <w:r w:rsidRPr="009D5ECE">
        <w:rPr>
          <w:rFonts w:ascii="Arial" w:eastAsia="Times New Roman" w:hAnsi="Arial" w:cs="Arial"/>
          <w:sz w:val="22"/>
          <w:lang w:eastAsia="hr-HR"/>
        </w:rPr>
        <w:t>Prihodi za decentralizirane funkcije osnovnog obrazovanja</w:t>
      </w:r>
      <w:r w:rsidRPr="009D5ECE">
        <w:rPr>
          <w:rFonts w:ascii="Arial" w:hAnsi="Arial" w:cs="Arial"/>
          <w:sz w:val="22"/>
          <w:lang w:eastAsia="hr-HR"/>
        </w:rPr>
        <w:t xml:space="preserve"> od 01.01.2026 označava sa 5.0.111 te se tako u tablici i prikazuje. </w:t>
      </w:r>
    </w:p>
    <w:p w14:paraId="6D6CACCA" w14:textId="67F35216" w:rsidR="008C0BE6" w:rsidRDefault="00D8783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2"/>
          <w:lang w:eastAsia="hr-HR"/>
        </w:rPr>
      </w:pPr>
      <w:r w:rsidRPr="009D5ECE">
        <w:rPr>
          <w:rFonts w:ascii="Arial" w:eastAsia="Times New Roman" w:hAnsi="Arial" w:cs="Arial"/>
          <w:sz w:val="22"/>
          <w:lang w:eastAsia="hr-HR"/>
        </w:rPr>
        <w:t>Prihodi iznose 123.000</w:t>
      </w:r>
      <w:r>
        <w:rPr>
          <w:rFonts w:ascii="Arial" w:eastAsia="Times New Roman" w:hAnsi="Arial" w:cs="Arial"/>
          <w:sz w:val="22"/>
          <w:lang w:eastAsia="hr-HR"/>
        </w:rPr>
        <w:t xml:space="preserve"> eura, a podrazumijeva planiranje sredstava za tekuće izdatke škole: službenih putovanja, uredskog materijala, energije, usluge telefona, pošte i prijevoza, prijevoz učenika, komunalnih usluga, računalnih usluga, zdravstvenih usluga, ostalih usluga, premija osiguranja i ostalih nespomenutih rashoda poslovanja, materijala za tekuće i investicijsko održavanje, usluge tekućeg i investicijskog održavanja. Za 2026.</w:t>
      </w:r>
      <w:r w:rsidR="00C41547">
        <w:rPr>
          <w:rFonts w:ascii="Arial" w:eastAsia="Times New Roman" w:hAnsi="Arial" w:cs="Arial"/>
          <w:sz w:val="22"/>
          <w:lang w:eastAsia="hr-HR"/>
        </w:rPr>
        <w:t xml:space="preserve"> </w:t>
      </w:r>
      <w:r>
        <w:rPr>
          <w:rFonts w:ascii="Arial" w:eastAsia="Times New Roman" w:hAnsi="Arial" w:cs="Arial"/>
          <w:sz w:val="22"/>
          <w:lang w:eastAsia="hr-HR"/>
        </w:rPr>
        <w:t>g</w:t>
      </w:r>
      <w:r w:rsidR="00C41547">
        <w:rPr>
          <w:rFonts w:ascii="Arial" w:eastAsia="Times New Roman" w:hAnsi="Arial" w:cs="Arial"/>
          <w:sz w:val="22"/>
          <w:lang w:eastAsia="hr-HR"/>
        </w:rPr>
        <w:t>od</w:t>
      </w:r>
      <w:r>
        <w:rPr>
          <w:rFonts w:ascii="Arial" w:eastAsia="Times New Roman" w:hAnsi="Arial" w:cs="Arial"/>
          <w:sz w:val="22"/>
          <w:lang w:eastAsia="hr-HR"/>
        </w:rPr>
        <w:t xml:space="preserve"> kapitalna ulaganja su u značajno manjem iznosu od prethodnog razdoblja zbog velikog povećanja cijena učeničkog prijevoza.</w:t>
      </w:r>
    </w:p>
    <w:p w14:paraId="7D2DA7CE" w14:textId="77777777" w:rsidR="008C0BE6" w:rsidRDefault="008C0BE6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2"/>
          <w:highlight w:val="yellow"/>
          <w:lang w:eastAsia="hr-HR"/>
        </w:rPr>
      </w:pPr>
    </w:p>
    <w:p w14:paraId="5B8B95BA" w14:textId="77777777" w:rsidR="008C0BE6" w:rsidRDefault="00D8783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2"/>
          <w:u w:val="single"/>
          <w:lang w:eastAsia="hr-HR"/>
        </w:rPr>
      </w:pPr>
      <w:r>
        <w:rPr>
          <w:rFonts w:ascii="Arial" w:eastAsia="Times New Roman" w:hAnsi="Arial" w:cs="Arial"/>
          <w:sz w:val="22"/>
          <w:u w:val="single"/>
          <w:lang w:eastAsia="hr-HR"/>
        </w:rPr>
        <w:t>Izvor 3.9.000001 Vlastiti prihodi</w:t>
      </w:r>
    </w:p>
    <w:p w14:paraId="14FBDF35" w14:textId="0AE5EA6B" w:rsidR="008C0BE6" w:rsidRDefault="00D8783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2"/>
          <w:lang w:eastAsia="hr-HR"/>
        </w:rPr>
      </w:pPr>
      <w:r>
        <w:rPr>
          <w:rFonts w:ascii="Arial" w:eastAsia="Times New Roman" w:hAnsi="Arial" w:cs="Arial"/>
          <w:sz w:val="22"/>
          <w:lang w:eastAsia="hr-HR"/>
        </w:rPr>
        <w:t>Vlastiti prihodi ostvaruju se iznajmljivanjem školske sportske dvorane i krovne površine za solarne panele. Planirani iznos za 202</w:t>
      </w:r>
      <w:r w:rsidR="00C41547">
        <w:rPr>
          <w:rFonts w:ascii="Arial" w:eastAsia="Times New Roman" w:hAnsi="Arial" w:cs="Arial"/>
          <w:sz w:val="22"/>
          <w:lang w:eastAsia="hr-HR"/>
        </w:rPr>
        <w:t>6</w:t>
      </w:r>
      <w:r>
        <w:rPr>
          <w:rFonts w:ascii="Arial" w:eastAsia="Times New Roman" w:hAnsi="Arial" w:cs="Arial"/>
          <w:sz w:val="22"/>
          <w:lang w:eastAsia="hr-HR"/>
        </w:rPr>
        <w:t>. godinu iznosi 2.500 eura</w:t>
      </w:r>
    </w:p>
    <w:p w14:paraId="1DAEB78B" w14:textId="77777777" w:rsidR="008C0BE6" w:rsidRDefault="00D8783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2"/>
          <w:lang w:eastAsia="hr-HR"/>
        </w:rPr>
      </w:pPr>
      <w:r>
        <w:rPr>
          <w:rFonts w:ascii="Arial" w:eastAsia="Times New Roman" w:hAnsi="Arial" w:cs="Arial"/>
          <w:sz w:val="22"/>
          <w:lang w:eastAsia="hr-HR"/>
        </w:rPr>
        <w:t>Sredstva ostvarena po tom izvoru financiranja podmiriti će troškove materijala za čišćenje i održavanje te ostale nespomenute usluge.</w:t>
      </w:r>
    </w:p>
    <w:p w14:paraId="52C40751" w14:textId="77777777" w:rsidR="008C0BE6" w:rsidRDefault="008C0BE6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2"/>
          <w:highlight w:val="yellow"/>
          <w:lang w:eastAsia="hr-HR"/>
        </w:rPr>
      </w:pPr>
    </w:p>
    <w:p w14:paraId="455994A1" w14:textId="77777777" w:rsidR="008C0BE6" w:rsidRDefault="00D8783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2"/>
          <w:u w:val="single"/>
          <w:lang w:eastAsia="hr-HR"/>
        </w:rPr>
      </w:pPr>
      <w:r>
        <w:rPr>
          <w:rFonts w:ascii="Arial" w:eastAsia="Times New Roman" w:hAnsi="Arial" w:cs="Arial"/>
          <w:sz w:val="22"/>
          <w:u w:val="single"/>
          <w:lang w:eastAsia="hr-HR"/>
        </w:rPr>
        <w:t>Izvor 4.9.000001 Prihodi po posebnim namjenama</w:t>
      </w:r>
    </w:p>
    <w:p w14:paraId="18A7B50A" w14:textId="78A1E6E7" w:rsidR="008C0BE6" w:rsidRDefault="00D878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eastAsia="Times New Roman" w:hAnsi="Arial" w:cs="Arial"/>
          <w:sz w:val="22"/>
          <w:lang w:eastAsia="hr-HR"/>
        </w:rPr>
        <w:t>Prihodi po posebnim namjena jesu prihodi ostvareni od uplata roditelja za produženi boravak. Iznos planirani za 202</w:t>
      </w:r>
      <w:r w:rsidR="00C41547">
        <w:rPr>
          <w:rFonts w:ascii="Arial" w:eastAsia="Times New Roman" w:hAnsi="Arial" w:cs="Arial"/>
          <w:sz w:val="22"/>
          <w:lang w:eastAsia="hr-HR"/>
        </w:rPr>
        <w:t>6</w:t>
      </w:r>
      <w:r>
        <w:rPr>
          <w:rFonts w:ascii="Arial" w:eastAsia="Times New Roman" w:hAnsi="Arial" w:cs="Arial"/>
          <w:sz w:val="22"/>
          <w:lang w:eastAsia="hr-HR"/>
        </w:rPr>
        <w:t xml:space="preserve">. godinu iznosi 74.100 eura. Iz tih sredstva financirati će se dio plaća djelatnica te materijalni rashodi školske kuhinje. </w:t>
      </w:r>
    </w:p>
    <w:p w14:paraId="74D8FE39" w14:textId="77777777" w:rsidR="008C0BE6" w:rsidRDefault="008C0BE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u w:val="single"/>
        </w:rPr>
      </w:pPr>
    </w:p>
    <w:p w14:paraId="439DB663" w14:textId="77777777" w:rsidR="008C0BE6" w:rsidRDefault="00D878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Izvor 5.9.000003 Pomoći korisnika – Državna riznica</w:t>
      </w:r>
    </w:p>
    <w:p w14:paraId="146ABA2D" w14:textId="77777777" w:rsidR="008C0BE6" w:rsidRDefault="00D8783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2"/>
          <w:lang w:eastAsia="hr-HR"/>
        </w:rPr>
      </w:pPr>
      <w:r>
        <w:rPr>
          <w:rFonts w:ascii="Arial" w:hAnsi="Arial" w:cs="Arial"/>
          <w:sz w:val="22"/>
        </w:rPr>
        <w:t>Prihod iz državnog proračuna za financiranje rashoda zaposlenih planirani je u visini od 1.414.100 eura. Rashodi za zaposlene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čine rashodi za plaće (bruto), ostali rashodi za zaposlene kao što su naknade za pomoć, božićnica, regres, i drugo te doprinosi na plaće.</w:t>
      </w:r>
      <w:r>
        <w:rPr>
          <w:rFonts w:ascii="Arial" w:eastAsia="Times New Roman" w:hAnsi="Arial" w:cs="Arial"/>
          <w:sz w:val="22"/>
          <w:lang w:eastAsia="hr-HR"/>
        </w:rPr>
        <w:t xml:space="preserve"> </w:t>
      </w:r>
    </w:p>
    <w:p w14:paraId="5D750B64" w14:textId="77777777" w:rsidR="008C0BE6" w:rsidRDefault="008C0BE6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FF0000"/>
          <w:sz w:val="22"/>
          <w:u w:val="single"/>
          <w:lang w:eastAsia="hr-HR"/>
        </w:rPr>
      </w:pPr>
    </w:p>
    <w:p w14:paraId="6E42DA43" w14:textId="77777777" w:rsidR="008C0BE6" w:rsidRDefault="00D8783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2"/>
          <w:u w:val="single"/>
          <w:lang w:eastAsia="hr-HR"/>
        </w:rPr>
      </w:pPr>
      <w:r>
        <w:rPr>
          <w:rFonts w:ascii="Arial" w:eastAsia="Times New Roman" w:hAnsi="Arial" w:cs="Arial"/>
          <w:sz w:val="22"/>
          <w:u w:val="single"/>
          <w:lang w:eastAsia="hr-HR"/>
        </w:rPr>
        <w:t>Izvor 5.9.000001</w:t>
      </w:r>
    </w:p>
    <w:p w14:paraId="15BC1B80" w14:textId="77777777" w:rsidR="008C0BE6" w:rsidRDefault="00D87834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eastAsia="Times New Roman" w:hAnsi="Arial" w:cs="Arial"/>
          <w:sz w:val="22"/>
          <w:lang w:eastAsia="hr-HR"/>
        </w:rPr>
        <w:t>Prihodi planirani po ovom izvoru iznose</w:t>
      </w:r>
      <w:r>
        <w:rPr>
          <w:rFonts w:ascii="Arial" w:hAnsi="Arial" w:cs="Arial"/>
          <w:sz w:val="22"/>
        </w:rPr>
        <w:t xml:space="preserve"> 183.170 od čega: </w:t>
      </w:r>
    </w:p>
    <w:p w14:paraId="6C77CB59" w14:textId="65F3E50A" w:rsidR="008C0BE6" w:rsidRDefault="00D87834">
      <w:pPr>
        <w:pStyle w:val="Odlomakpopisa"/>
        <w:numPr>
          <w:ilvl w:val="0"/>
          <w:numId w:val="3"/>
        </w:numPr>
        <w:spacing w:after="20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Osiguranje pomoćnika u nastavi:</w:t>
      </w:r>
      <w:r>
        <w:rPr>
          <w:rFonts w:ascii="Arial" w:hAnsi="Arial" w:cs="Arial"/>
          <w:sz w:val="22"/>
          <w:shd w:val="clear" w:color="auto" w:fill="FFFFFF"/>
        </w:rPr>
        <w:t xml:space="preserve"> planirani iznos za 202</w:t>
      </w:r>
      <w:r w:rsidR="00C41547">
        <w:rPr>
          <w:rFonts w:ascii="Arial" w:hAnsi="Arial" w:cs="Arial"/>
          <w:sz w:val="22"/>
          <w:shd w:val="clear" w:color="auto" w:fill="FFFFFF"/>
        </w:rPr>
        <w:t>6</w:t>
      </w:r>
      <w:r>
        <w:rPr>
          <w:rFonts w:ascii="Arial" w:hAnsi="Arial" w:cs="Arial"/>
          <w:sz w:val="22"/>
          <w:shd w:val="clear" w:color="auto" w:fill="FFFFFF"/>
        </w:rPr>
        <w:t xml:space="preserve"> .godinu iznosi 59.500 za 7 PUN.</w:t>
      </w:r>
    </w:p>
    <w:p w14:paraId="4AC10AF8" w14:textId="77777777" w:rsidR="008C0BE6" w:rsidRDefault="00D87834">
      <w:pPr>
        <w:pStyle w:val="Odlomakpopisa"/>
        <w:numPr>
          <w:ilvl w:val="0"/>
          <w:numId w:val="3"/>
        </w:numPr>
        <w:spacing w:after="20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Prihodi za financiranje rashoda zaposlenih u produženom boravku od strane Općine Raša iznose 20.050 eura</w:t>
      </w:r>
    </w:p>
    <w:p w14:paraId="6ACEACD3" w14:textId="77777777" w:rsidR="008C0BE6" w:rsidRDefault="00D87834">
      <w:pPr>
        <w:pStyle w:val="Odlomakpopisa"/>
        <w:numPr>
          <w:ilvl w:val="0"/>
          <w:numId w:val="3"/>
        </w:numPr>
        <w:spacing w:after="20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Planirani iznos prihoda od strane MZO i AZOO iznosi 99.320 od čega će se financirati rashodi nabavke obveznih udžbenika i radnih materijala za školsku godinu 2025/2026., edukacije i nastavni materijal za voditelja županijskog stručnog vijeća i od 1.1.2023. Odlukom Vlade RH učeničke marende.</w:t>
      </w:r>
    </w:p>
    <w:p w14:paraId="15C9079A" w14:textId="77777777" w:rsidR="008C0BE6" w:rsidRDefault="00D87834">
      <w:pPr>
        <w:pStyle w:val="Odlomakpopisa"/>
        <w:numPr>
          <w:ilvl w:val="0"/>
          <w:numId w:val="3"/>
        </w:numPr>
        <w:tabs>
          <w:tab w:val="left" w:pos="851"/>
        </w:tabs>
        <w:spacing w:after="200" w:line="240" w:lineRule="auto"/>
        <w:jc w:val="both"/>
        <w:rPr>
          <w:rFonts w:ascii="Arial" w:hAnsi="Arial" w:cs="Arial"/>
          <w:sz w:val="22"/>
          <w:shd w:val="clear" w:color="auto" w:fill="FFFFFF"/>
        </w:rPr>
      </w:pPr>
      <w:r>
        <w:rPr>
          <w:rFonts w:ascii="Arial" w:hAnsi="Arial" w:cs="Arial"/>
          <w:sz w:val="22"/>
        </w:rPr>
        <w:t>Prihodi od pomoći županijskog proračuna planirani su u visini od 4.300 eura a financirati će rashode odlaska učenika i mentora na županijska natjecanja te projekta ''zavičajna nastava''.</w:t>
      </w:r>
      <w:r>
        <w:rPr>
          <w:rFonts w:ascii="Arial" w:hAnsi="Arial" w:cs="Arial"/>
          <w:sz w:val="22"/>
        </w:rPr>
        <w:tab/>
      </w:r>
    </w:p>
    <w:p w14:paraId="46AFFDF2" w14:textId="77777777" w:rsidR="009D5ECE" w:rsidRDefault="009D5ECE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2"/>
          <w:u w:val="single"/>
          <w:lang w:eastAsia="hr-HR"/>
        </w:rPr>
      </w:pPr>
    </w:p>
    <w:p w14:paraId="5C35569E" w14:textId="7CA0FA51" w:rsidR="008C0BE6" w:rsidRDefault="00D8783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2"/>
          <w:u w:val="single"/>
          <w:lang w:eastAsia="hr-HR"/>
        </w:rPr>
      </w:pPr>
      <w:r>
        <w:rPr>
          <w:rFonts w:ascii="Arial" w:eastAsia="Times New Roman" w:hAnsi="Arial" w:cs="Arial"/>
          <w:sz w:val="22"/>
          <w:u w:val="single"/>
          <w:lang w:eastAsia="hr-HR"/>
        </w:rPr>
        <w:lastRenderedPageBreak/>
        <w:t>Izvor 6.9.000001 Prihodi od donacija</w:t>
      </w:r>
    </w:p>
    <w:p w14:paraId="0548C3AB" w14:textId="291D53B5" w:rsidR="008C0BE6" w:rsidRDefault="00D8783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2"/>
          <w:highlight w:val="yellow"/>
          <w:lang w:eastAsia="hr-HR"/>
        </w:rPr>
      </w:pPr>
      <w:r>
        <w:rPr>
          <w:rFonts w:ascii="Arial" w:eastAsia="Times New Roman" w:hAnsi="Arial" w:cs="Arial"/>
          <w:sz w:val="22"/>
          <w:lang w:eastAsia="hr-HR"/>
        </w:rPr>
        <w:t>Prihodi od donacija pravnih i fizičkih osoba za 202</w:t>
      </w:r>
      <w:r w:rsidR="00C41547">
        <w:rPr>
          <w:rFonts w:ascii="Arial" w:eastAsia="Times New Roman" w:hAnsi="Arial" w:cs="Arial"/>
          <w:sz w:val="22"/>
          <w:lang w:eastAsia="hr-HR"/>
        </w:rPr>
        <w:t>6</w:t>
      </w:r>
      <w:r>
        <w:rPr>
          <w:rFonts w:ascii="Arial" w:eastAsia="Times New Roman" w:hAnsi="Arial" w:cs="Arial"/>
          <w:sz w:val="22"/>
          <w:lang w:eastAsia="hr-HR"/>
        </w:rPr>
        <w:t>.</w:t>
      </w:r>
      <w:r w:rsidR="00C41547">
        <w:rPr>
          <w:rFonts w:ascii="Arial" w:eastAsia="Times New Roman" w:hAnsi="Arial" w:cs="Arial"/>
          <w:sz w:val="22"/>
          <w:lang w:eastAsia="hr-HR"/>
        </w:rPr>
        <w:t xml:space="preserve"> </w:t>
      </w:r>
      <w:r>
        <w:rPr>
          <w:rFonts w:ascii="Arial" w:eastAsia="Times New Roman" w:hAnsi="Arial" w:cs="Arial"/>
          <w:sz w:val="22"/>
          <w:lang w:eastAsia="hr-HR"/>
        </w:rPr>
        <w:t>godinu planirani su u iznosu od 1.000 eura</w:t>
      </w:r>
      <w:r w:rsidR="00C41547">
        <w:rPr>
          <w:rFonts w:ascii="Arial" w:eastAsia="Times New Roman" w:hAnsi="Arial" w:cs="Arial"/>
          <w:sz w:val="22"/>
          <w:lang w:eastAsia="hr-HR"/>
        </w:rPr>
        <w:t>.</w:t>
      </w:r>
    </w:p>
    <w:p w14:paraId="5387298C" w14:textId="77777777" w:rsidR="008C0BE6" w:rsidRDefault="008C0BE6">
      <w:pPr>
        <w:rPr>
          <w:rFonts w:ascii="Arial" w:hAnsi="Arial" w:cs="Arial"/>
          <w:b/>
          <w:color w:val="FF0000"/>
          <w:sz w:val="22"/>
          <w:highlight w:val="yellow"/>
        </w:rPr>
      </w:pPr>
    </w:p>
    <w:p w14:paraId="0351C312" w14:textId="77777777" w:rsidR="008C0BE6" w:rsidRDefault="00D8783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2. OBRAZLOŽENJE POSEBNOG DIJELA PRORAČUNA</w:t>
      </w:r>
    </w:p>
    <w:p w14:paraId="72B52988" w14:textId="77777777" w:rsidR="008C0BE6" w:rsidRDefault="00D87834">
      <w:pPr>
        <w:pStyle w:val="Bezproreda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Zakonska osnova:</w:t>
      </w:r>
    </w:p>
    <w:p w14:paraId="2B0735C1" w14:textId="77777777" w:rsidR="008C0BE6" w:rsidRDefault="008C0BE6">
      <w:pPr>
        <w:pStyle w:val="Bezproreda"/>
        <w:jc w:val="both"/>
        <w:rPr>
          <w:rFonts w:ascii="Arial" w:eastAsia="Arial" w:hAnsi="Arial" w:cs="Arial"/>
          <w:b/>
        </w:rPr>
      </w:pPr>
    </w:p>
    <w:p w14:paraId="4EA5F485" w14:textId="77777777" w:rsidR="008C0BE6" w:rsidRDefault="00D87834">
      <w:pPr>
        <w:spacing w:after="0" w:line="276" w:lineRule="auto"/>
        <w:contextualSpacing/>
        <w:rPr>
          <w:rFonts w:ascii="Arial" w:eastAsia="Calibri" w:hAnsi="Arial" w:cs="Arial"/>
          <w:b/>
          <w:sz w:val="22"/>
          <w:u w:val="single"/>
        </w:rPr>
      </w:pPr>
      <w:r>
        <w:rPr>
          <w:rFonts w:ascii="Arial" w:eastAsia="Calibri" w:hAnsi="Arial" w:cs="Arial"/>
          <w:sz w:val="22"/>
        </w:rPr>
        <w:t>Zakon o odgoju i obrazovanju u osnovnoj i srednjoj školi (NN 87/08, 86/09, 92/10, 105/10, 90/11, 5/12, 16/12, 86/12, 126/12, 94/13, 152/14, 07/17, 68/18, 98/19, 64/20)</w:t>
      </w:r>
    </w:p>
    <w:p w14:paraId="4FA27020" w14:textId="77777777" w:rsidR="008C0BE6" w:rsidRDefault="00D87834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Zakon o proračunu („Narodne novine“ broj: 144/21.), </w:t>
      </w:r>
    </w:p>
    <w:p w14:paraId="25B4655A" w14:textId="77777777" w:rsidR="008C0BE6" w:rsidRDefault="00D87834">
      <w:pPr>
        <w:spacing w:after="0" w:line="276" w:lineRule="auto"/>
        <w:contextualSpacing/>
        <w:rPr>
          <w:rFonts w:ascii="Arial" w:eastAsia="Calibri" w:hAnsi="Arial" w:cs="Arial"/>
          <w:b/>
          <w:sz w:val="22"/>
          <w:u w:val="single"/>
        </w:rPr>
      </w:pPr>
      <w:r>
        <w:rPr>
          <w:rFonts w:ascii="Arial" w:eastAsia="Calibri" w:hAnsi="Arial" w:cs="Arial"/>
          <w:sz w:val="22"/>
        </w:rPr>
        <w:t>Pravilnik o proračunskim klasifikacijama (NN 26/10, 120/12, 01/20),</w:t>
      </w:r>
    </w:p>
    <w:p w14:paraId="14A0EC7D" w14:textId="77777777" w:rsidR="008C0BE6" w:rsidRDefault="00D87834">
      <w:pPr>
        <w:tabs>
          <w:tab w:val="left" w:pos="851"/>
        </w:tabs>
        <w:spacing w:after="0" w:line="240" w:lineRule="auto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Pravilnik o proračunskom računovodstvu i računskom planu (NN 124/14, 115/15, 87/16, 3/18 i 126/19,108/20), Državni pedagoški standard osnovnoškolskog sustava odgoja i obrazovanja („Narodne novine“ broj: 63/08 i 90/10),</w:t>
      </w:r>
    </w:p>
    <w:p w14:paraId="7C9D3320" w14:textId="77777777" w:rsidR="008C0BE6" w:rsidRDefault="00D87834">
      <w:pPr>
        <w:tabs>
          <w:tab w:val="left" w:pos="851"/>
        </w:tabs>
        <w:spacing w:line="276" w:lineRule="auto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Upute za izradu proračuna lokalne samouprave Grada,  Odluku o kriterijima, mjerilima i načinu financiranja decentraliziranih funkcija osnovnog obrazovanja, Godišnji plan i program rada za školsku godinu 2025/2026,  Školski kurikulum OŠ Matije Vlačića Labin za školsku godinu  2025./2026. </w:t>
      </w:r>
    </w:p>
    <w:p w14:paraId="35BF49E9" w14:textId="77777777" w:rsidR="008C0BE6" w:rsidRDefault="008C0BE6">
      <w:pPr>
        <w:pStyle w:val="Bezproreda"/>
        <w:jc w:val="both"/>
        <w:rPr>
          <w:rFonts w:ascii="Arial" w:eastAsia="Arial" w:hAnsi="Arial" w:cs="Arial"/>
          <w:b/>
          <w:color w:val="FF0000"/>
          <w:highlight w:val="yellow"/>
        </w:rPr>
        <w:sectPr w:rsidR="008C0BE6" w:rsidSect="009D5EC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2900" w:type="dxa"/>
        <w:tblLook w:val="04A0" w:firstRow="1" w:lastRow="0" w:firstColumn="1" w:lastColumn="0" w:noHBand="0" w:noVBand="1"/>
      </w:tblPr>
      <w:tblGrid>
        <w:gridCol w:w="8230"/>
        <w:gridCol w:w="272"/>
        <w:gridCol w:w="2271"/>
        <w:gridCol w:w="2127"/>
      </w:tblGrid>
      <w:tr w:rsidR="008C0BE6" w14:paraId="07E2319E" w14:textId="77777777">
        <w:trPr>
          <w:trHeight w:val="315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835015" w14:textId="77777777" w:rsidR="008C0BE6" w:rsidRDefault="00D878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hr-HR"/>
              </w:rPr>
              <w:lastRenderedPageBreak/>
              <w:t>II. POSEBNI DIO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3E056" w14:textId="77777777" w:rsidR="008C0BE6" w:rsidRDefault="008C0B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hr-HR"/>
              </w:rPr>
            </w:pPr>
          </w:p>
        </w:tc>
      </w:tr>
      <w:tr w:rsidR="008C0BE6" w14:paraId="5466C12E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B961CF2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11947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37676" w14:textId="77777777" w:rsidR="008C0BE6" w:rsidRDefault="00D878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45326" w14:textId="77777777" w:rsidR="008C0BE6" w:rsidRDefault="00D878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za 2026.</w:t>
            </w:r>
          </w:p>
        </w:tc>
      </w:tr>
      <w:tr w:rsidR="008C0BE6" w14:paraId="1A4AF75A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B8D3EF"/>
            <w:noWrap/>
            <w:vAlign w:val="bottom"/>
          </w:tcPr>
          <w:p w14:paraId="050DDC87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5002 Obrazovanje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D3EF"/>
            <w:noWrap/>
            <w:vAlign w:val="bottom"/>
          </w:tcPr>
          <w:p w14:paraId="7FD1E036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D3EF"/>
            <w:noWrap/>
            <w:vAlign w:val="bottom"/>
          </w:tcPr>
          <w:p w14:paraId="31936829" w14:textId="20399AAA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</w:t>
            </w:r>
            <w:r w:rsidR="00170D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170D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noWrap/>
            <w:vAlign w:val="bottom"/>
          </w:tcPr>
          <w:p w14:paraId="7F0FC023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2.021.070</w:t>
            </w:r>
          </w:p>
        </w:tc>
      </w:tr>
      <w:tr w:rsidR="008C0BE6" w14:paraId="33A1D1C0" w14:textId="77777777">
        <w:trPr>
          <w:trHeight w:val="300"/>
        </w:trPr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</w:tcPr>
          <w:p w14:paraId="48FFFC41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A500003 Financiranje djelatnosti osnovnog školstva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F7D2B2C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FEDFD7F" w14:textId="44E485FE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</w:t>
            </w:r>
            <w:r w:rsidR="00B35E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B35E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="00B35E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822A1B2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1.658.400</w:t>
            </w:r>
          </w:p>
        </w:tc>
      </w:tr>
      <w:tr w:rsidR="008C0BE6" w14:paraId="7E5C658D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</w:tcPr>
          <w:p w14:paraId="61F89368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1.1. PRIHODI IZ NADLEŽNOG PRORAČUNA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83BE2C3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C770E7B" w14:textId="54DCD1FF" w:rsidR="008C0BE6" w:rsidRDefault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</w:t>
            </w:r>
            <w:r w:rsidR="00D878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</w:t>
            </w:r>
            <w:r w:rsidR="00D878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E737501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</w:tr>
      <w:tr w:rsidR="008C0BE6" w14:paraId="751FA1DE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9B0C949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6C11F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BA6AA" w14:textId="3E5087A9" w:rsidR="008C0BE6" w:rsidRDefault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  <w:r w:rsidR="00D878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5B0E3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</w:t>
            </w:r>
          </w:p>
        </w:tc>
      </w:tr>
      <w:tr w:rsidR="008C0BE6" w14:paraId="6DF66DF1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991C4B3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3EBF5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FE32F" w14:textId="01397AF0" w:rsidR="008C0BE6" w:rsidRDefault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41.750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B38FF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</w:t>
            </w:r>
          </w:p>
        </w:tc>
      </w:tr>
      <w:tr w:rsidR="008C0BE6" w14:paraId="4495AA53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</w:tcPr>
          <w:p w14:paraId="21E4B88E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3.9. VLASTITI PRIHODI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E88D8C1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2F054A8" w14:textId="6EA63BE6" w:rsidR="008C0BE6" w:rsidRDefault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 w:rsidR="00D878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="00D878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8EC8421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3.500</w:t>
            </w:r>
          </w:p>
        </w:tc>
      </w:tr>
      <w:tr w:rsidR="008C0BE6" w14:paraId="60513A1F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CB3FECE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2F7B4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5B08D" w14:textId="7C88532A" w:rsidR="008C0BE6" w:rsidRDefault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2C3E0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</w:t>
            </w:r>
          </w:p>
        </w:tc>
      </w:tr>
      <w:tr w:rsidR="008C0BE6" w14:paraId="22746C1B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72F979F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878DD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1A8C6" w14:textId="7A9E8FB2" w:rsidR="008C0BE6" w:rsidRDefault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4A2C0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</w:t>
            </w:r>
          </w:p>
        </w:tc>
      </w:tr>
      <w:tr w:rsidR="008C0BE6" w14:paraId="603675A4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763FECE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30B1E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E2F0C" w14:textId="217DDFD4" w:rsidR="008C0BE6" w:rsidRDefault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FE590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</w:t>
            </w:r>
          </w:p>
        </w:tc>
      </w:tr>
      <w:tr w:rsidR="008C0BE6" w14:paraId="730325F0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44BF47D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F2612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43F08" w14:textId="5E381787" w:rsidR="008C0BE6" w:rsidRDefault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2DC1D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</w:t>
            </w:r>
          </w:p>
        </w:tc>
      </w:tr>
      <w:tr w:rsidR="008C0BE6" w14:paraId="3A780960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</w:tcPr>
          <w:p w14:paraId="5AD36D7C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4.9. PRIHODI ZA POSEBNE NAMJENE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C1C0D47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B3657D3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ED41D62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</w:t>
            </w:r>
          </w:p>
        </w:tc>
      </w:tr>
      <w:tr w:rsidR="008C0BE6" w14:paraId="2D8863F1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A0C7A5F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F67D4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EF746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4.292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1084E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</w:t>
            </w:r>
          </w:p>
        </w:tc>
      </w:tr>
      <w:tr w:rsidR="008C0BE6" w14:paraId="04370C72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46ED297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1D3FC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E17F5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4.292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9C853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</w:t>
            </w:r>
          </w:p>
        </w:tc>
      </w:tr>
      <w:tr w:rsidR="008C0BE6" w14:paraId="6B96C720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EE5214B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B16B5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2FD23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60A52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</w:t>
            </w:r>
          </w:p>
        </w:tc>
      </w:tr>
      <w:tr w:rsidR="008C0BE6" w14:paraId="141701AB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2620094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CDB3F" w14:textId="77777777" w:rsidR="008C0BE6" w:rsidRDefault="00D878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3E38A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D154E" w14:textId="77777777" w:rsidR="008C0BE6" w:rsidRDefault="00D87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</w:t>
            </w:r>
          </w:p>
        </w:tc>
      </w:tr>
      <w:tr w:rsidR="00B35E95" w14:paraId="72A08CC4" w14:textId="77777777" w:rsidTr="001D76B9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</w:tcPr>
          <w:p w14:paraId="3E86B57C" w14:textId="38BBC011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5.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0.11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1. POMOĆI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 xml:space="preserve"> – decentralizirane funkcije (od 01.01.2026.)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0ED337B" w14:textId="6AFF4AD9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6DCE2EE" w14:textId="0820248D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2FA97DB" w14:textId="6BAB3592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122.500</w:t>
            </w:r>
          </w:p>
        </w:tc>
      </w:tr>
      <w:tr w:rsidR="00B35E95" w14:paraId="562D35F1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42B012A" w14:textId="22330A7E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89C9F" w14:textId="1B263F58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D5CF8" w14:textId="5426E3E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494CC" w14:textId="5C14DA50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122.500</w:t>
            </w:r>
          </w:p>
        </w:tc>
      </w:tr>
      <w:tr w:rsidR="00B35E95" w14:paraId="01C36658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60C8889" w14:textId="270825C0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EBBD3" w14:textId="7E9D05CC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84F25" w14:textId="7301F4F9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0E87A" w14:textId="00737E55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122.500</w:t>
            </w:r>
          </w:p>
        </w:tc>
      </w:tr>
      <w:tr w:rsidR="00B35E95" w14:paraId="2D99BE36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6A260A2" w14:textId="69C2291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21513" w14:textId="58AF499F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F34CD" w14:textId="2D1FEF6A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9471B" w14:textId="6C64BBB3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tr w:rsidR="00B35E95" w14:paraId="12CD2F80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</w:tcPr>
          <w:p w14:paraId="51A7B6AA" w14:textId="6E3F294B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bookmarkStart w:id="0" w:name="_Hlk215769966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5.1. POMOĆI – decentralizirane funkcije (do 31.12.2025.)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A1784C8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34DAB25" w14:textId="6898A9D8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120.978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5AB9703" w14:textId="3D309232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B35E95" w14:paraId="10B930E6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4A3FA12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D63B4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697BA" w14:textId="4959856D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120.978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7A245" w14:textId="0B655618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B35E95" w14:paraId="70E3EF59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B959663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71B99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A88F0" w14:textId="541192D2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120.978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4162F" w14:textId="49A48699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B35E95" w14:paraId="4A87D392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3622749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A0266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AC5AB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DF6F3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bookmarkEnd w:id="0"/>
      <w:tr w:rsidR="00B35E95" w14:paraId="74A46865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</w:tcPr>
          <w:p w14:paraId="57CC554A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5.9. POMOĆI-PRIHODI KORISNIKA-GL 02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4F0DC23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73A05E7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1.494.920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8014AEE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1.494.900</w:t>
            </w:r>
          </w:p>
        </w:tc>
      </w:tr>
      <w:tr w:rsidR="00B35E95" w14:paraId="1BCD2814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245E606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64D6C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4E886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1.494.920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930AD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1.494.900</w:t>
            </w:r>
          </w:p>
        </w:tc>
      </w:tr>
      <w:tr w:rsidR="00B35E95" w14:paraId="043BDF31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88748D4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1C461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7B581" w14:textId="1D715C0E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1.375.000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AB76F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1.372.000</w:t>
            </w:r>
          </w:p>
        </w:tc>
      </w:tr>
      <w:tr w:rsidR="00B35E95" w14:paraId="7B1AFCD3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7EE0151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541D6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B9E89" w14:textId="4BC29562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DC7E8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122.100</w:t>
            </w:r>
          </w:p>
        </w:tc>
      </w:tr>
      <w:tr w:rsidR="00B35E95" w14:paraId="4EE5974D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56219EB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34 Financijski rashodi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94289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A4667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BC5F1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tr w:rsidR="00B35E95" w14:paraId="577AABF7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8EA3C43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 Ostali rashodi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6C7A2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55DE7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04EC5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800</w:t>
            </w:r>
          </w:p>
        </w:tc>
      </w:tr>
      <w:tr w:rsidR="00B35E95" w14:paraId="09895814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</w:tcPr>
          <w:p w14:paraId="1823F8C0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6.9. DONACIJE - prihodi korisnika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70AA54F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E748D16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855401C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tr w:rsidR="00B35E95" w14:paraId="57306F80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504ABF0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50AA0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58075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DC44D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tr w:rsidR="00B35E95" w14:paraId="0B930EF2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8325DCF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5C603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A25A5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332DC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tr w:rsidR="00B35E95" w14:paraId="0D1F2496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3B11868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 Ostali rashodi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213FD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5B251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6AC5B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tr w:rsidR="00B35E95" w14:paraId="1ED62AE9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ECB35FA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2AD75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5423D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AE4BF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tr w:rsidR="00B35E95" w14:paraId="7AF0588C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938F6FA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78F7D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890DD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A620C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tr w:rsidR="00B35E95" w14:paraId="0DFC830F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</w:tcPr>
          <w:p w14:paraId="7181EC2A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A500004 Produženi boravak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04E0A76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CF40670" w14:textId="65970382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9D56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.5</w:t>
            </w:r>
            <w:r w:rsidR="009D56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8A7F204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216.650</w:t>
            </w:r>
          </w:p>
        </w:tc>
      </w:tr>
      <w:tr w:rsidR="00B35E95" w14:paraId="21CF2049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</w:tcPr>
          <w:p w14:paraId="2B3C96BD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1.1. PRIHODI IZ NADLEŽNOG PRORAČUNA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E6FA4A7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C0C8C43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110.200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86DA7E6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122.500</w:t>
            </w:r>
          </w:p>
        </w:tc>
      </w:tr>
      <w:tr w:rsidR="00B35E95" w14:paraId="6194A96E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2166291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02A8B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CF67A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89A50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122.500</w:t>
            </w:r>
          </w:p>
        </w:tc>
      </w:tr>
      <w:tr w:rsidR="00B35E95" w14:paraId="63DFD23A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F34CDE9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C1B2B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B0AF2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FED50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122.500</w:t>
            </w:r>
          </w:p>
        </w:tc>
      </w:tr>
      <w:tr w:rsidR="00B35E95" w14:paraId="78E96839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</w:tcPr>
          <w:p w14:paraId="1C90F5CF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4.9. PRIHODI ZA POSEBNE NAMJENE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032B5EF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47A39FD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77.750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00F602C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74.100</w:t>
            </w:r>
          </w:p>
        </w:tc>
      </w:tr>
      <w:tr w:rsidR="00B35E95" w14:paraId="689A1E92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D5056A8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93FEC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63939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77.250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DF62E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73.600</w:t>
            </w:r>
          </w:p>
        </w:tc>
      </w:tr>
      <w:tr w:rsidR="00B35E95" w14:paraId="38A1DDE3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B93BB66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93BA0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167D4" w14:textId="768784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 w:rsidR="009D560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9D560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90FD9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18.500</w:t>
            </w:r>
          </w:p>
        </w:tc>
      </w:tr>
      <w:tr w:rsidR="00B35E95" w14:paraId="6929FAFD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4CA1014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79519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FC502" w14:textId="31D103B3" w:rsidR="00B35E95" w:rsidRDefault="009D560D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B35E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  <w:r w:rsidR="00B35E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5D144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55.100</w:t>
            </w:r>
          </w:p>
        </w:tc>
      </w:tr>
      <w:tr w:rsidR="00B35E95" w14:paraId="18DA3A63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A8E9B39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58EFC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B12A4" w14:textId="67A23C83" w:rsidR="00B35E95" w:rsidRDefault="009D560D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70727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</w:t>
            </w:r>
          </w:p>
        </w:tc>
      </w:tr>
      <w:tr w:rsidR="00B35E95" w14:paraId="3797A201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6FEABEE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67345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1058B" w14:textId="720A567F" w:rsidR="00B35E95" w:rsidRDefault="009D560D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</w:t>
            </w:r>
            <w:r w:rsidR="00B35E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E797E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</w:t>
            </w:r>
          </w:p>
        </w:tc>
      </w:tr>
      <w:tr w:rsidR="00B35E95" w14:paraId="7C4ECB98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</w:tcPr>
          <w:p w14:paraId="4F2EC1ED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5.9. POMOĆI-PRIHODI KORISNIKA-GL 02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FD27877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8643F20" w14:textId="6AFB002A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9D560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9D560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8D69CEC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20.050</w:t>
            </w:r>
          </w:p>
        </w:tc>
      </w:tr>
      <w:tr w:rsidR="00B35E95" w14:paraId="577CE033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5E57975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1656D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D0467" w14:textId="47B337A2" w:rsidR="00B35E95" w:rsidRDefault="00B35E95" w:rsidP="009D56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="009D560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9D560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EBC5B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20.050</w:t>
            </w:r>
          </w:p>
        </w:tc>
      </w:tr>
      <w:tr w:rsidR="00B35E95" w14:paraId="4FC8B2BE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CB1E927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A7B34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51B15" w14:textId="6185EE7E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="009D560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9D560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CE060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20.050</w:t>
            </w:r>
          </w:p>
        </w:tc>
      </w:tr>
      <w:tr w:rsidR="00B35E95" w14:paraId="349F1C49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</w:tcPr>
          <w:p w14:paraId="617E0434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6.9. DONACIJE - prihodi korisnika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A742F49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646C8AE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48D87CA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B35E95" w14:paraId="09294B2E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70CF66F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6D8F7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E5100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63B9A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tr w:rsidR="00B35E95" w14:paraId="5C8BEBF1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035DB16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 Ostali rashodi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29762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673E0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83A27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tr w:rsidR="00B35E95" w14:paraId="038403C6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</w:tcPr>
          <w:p w14:paraId="7EE76D77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A500005 Dodatne aktivnosti učenika i osoblja u školi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F5F642C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9929BDD" w14:textId="6F202F59" w:rsidR="00B35E95" w:rsidRDefault="009D560D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</w:t>
            </w:r>
            <w:r w:rsidR="00B35E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="00B35E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87249BF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22.520</w:t>
            </w:r>
          </w:p>
        </w:tc>
      </w:tr>
      <w:tr w:rsidR="00B35E95" w14:paraId="6E82A9AA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</w:tcPr>
          <w:p w14:paraId="7A917F2B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3.9. VLASTITI PRIHODI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AC89653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C3BB1D0" w14:textId="57D0852E" w:rsidR="00B35E95" w:rsidRDefault="009D560D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9215339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B35E95" w14:paraId="2074C5BF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5B3D78B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0C1D7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946D9" w14:textId="03BE141C" w:rsidR="00B35E95" w:rsidRDefault="009D560D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</w:t>
            </w:r>
            <w:r w:rsidR="00B35E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FC27C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tr w:rsidR="00B35E95" w14:paraId="0E8FB00A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AD2FACB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BFF62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130EF" w14:textId="212C2F4B" w:rsidR="00B35E95" w:rsidRDefault="009D560D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</w:t>
            </w:r>
            <w:r w:rsidR="00B35E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F34F6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tr w:rsidR="00B35E95" w14:paraId="605C390F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</w:tcPr>
          <w:p w14:paraId="39612DF9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5.9. POMOĆI-PRIHODI KORISNIKA-GL 02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02D8817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DCAC401" w14:textId="6572E629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9D560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9D560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6CE388C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21.520</w:t>
            </w:r>
          </w:p>
        </w:tc>
      </w:tr>
      <w:tr w:rsidR="00B35E95" w14:paraId="421ACA27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D05EB5C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 Rashodi poslovanja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30C60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EA48E" w14:textId="48904A55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 w:rsidR="009D560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.5</w:t>
            </w:r>
            <w:r w:rsidR="009D560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BA1CB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19.120</w:t>
            </w:r>
          </w:p>
        </w:tc>
      </w:tr>
      <w:tr w:rsidR="00B35E95" w14:paraId="1F54A76D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8CA191B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1D99B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5DD02" w14:textId="7605A44D" w:rsidR="00B35E95" w:rsidRDefault="009D560D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  <w:r w:rsidR="00B35E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C7D6E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320</w:t>
            </w:r>
          </w:p>
        </w:tc>
      </w:tr>
      <w:tr w:rsidR="00B35E95" w14:paraId="1AA399FC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DA7B87F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DA6F1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A5E58" w14:textId="384DCAD6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6.3</w:t>
            </w:r>
            <w:r w:rsidR="009D560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213F0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4.800</w:t>
            </w:r>
          </w:p>
        </w:tc>
      </w:tr>
      <w:tr w:rsidR="00B35E95" w14:paraId="2887F049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1572115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CCF83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1A6DC" w14:textId="20E82F73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="009D560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9D560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B30B1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</w:t>
            </w:r>
          </w:p>
        </w:tc>
      </w:tr>
      <w:tr w:rsidR="00B35E95" w14:paraId="133AAD92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219EF46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D003C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ED34A" w14:textId="51E112C5" w:rsidR="00B35E95" w:rsidRDefault="009D560D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CB863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2.400</w:t>
            </w:r>
          </w:p>
        </w:tc>
      </w:tr>
      <w:tr w:rsidR="00B35E95" w14:paraId="523F86EE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D217A67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19C62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922B5" w14:textId="209D5B1D" w:rsidR="00B35E95" w:rsidRDefault="009D560D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B35E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</w:t>
            </w:r>
            <w:r w:rsidR="00B35E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5620E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2.400</w:t>
            </w:r>
          </w:p>
        </w:tc>
      </w:tr>
      <w:tr w:rsidR="00B35E95" w14:paraId="03D08FE7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</w:tcPr>
          <w:p w14:paraId="6A283C1D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6.9. DONACIJE - prihodi korisnika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49714B4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3021402" w14:textId="0A3D38CA" w:rsidR="00B35E95" w:rsidRDefault="009D560D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 w:rsidR="00B35E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="00B35E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1C669AB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B35E95" w14:paraId="43253E8D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32D4F08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DD600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78DA6" w14:textId="169DD697" w:rsidR="00B35E95" w:rsidRDefault="009D560D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B35E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B35E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1F65D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</w:t>
            </w:r>
          </w:p>
        </w:tc>
      </w:tr>
      <w:tr w:rsidR="00B35E95" w14:paraId="68DCDD3D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6DD8F3A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C5C0A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3DFC6" w14:textId="035CE832" w:rsidR="00B35E95" w:rsidRDefault="009D560D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B35E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B35E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C7763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</w:t>
            </w:r>
          </w:p>
        </w:tc>
      </w:tr>
      <w:tr w:rsidR="00B35E95" w14:paraId="640766A7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C2069EA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C2069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40CEC" w14:textId="4E78CFEA" w:rsidR="00B35E95" w:rsidRDefault="009D560D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  <w:r w:rsidR="00B35E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09D19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</w:t>
            </w:r>
          </w:p>
        </w:tc>
      </w:tr>
      <w:tr w:rsidR="00B35E95" w14:paraId="5301986D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AF9F2B5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0CA0B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3DBFE" w14:textId="761F96F4" w:rsidR="00B35E95" w:rsidRDefault="009D560D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  <w:r w:rsidR="00B35E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B6A80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</w:t>
            </w:r>
          </w:p>
        </w:tc>
      </w:tr>
      <w:tr w:rsidR="00B35E95" w14:paraId="0EE277DA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</w:tcPr>
          <w:p w14:paraId="7F4164F6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7.9. 7.PRIHODI OD NEFINANCIJSKE IMOVINE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ACB29A1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F08CD7F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FC049F7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B35E95" w14:paraId="4EA37EF7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11CA80F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81453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09BEE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AC2E5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tr w:rsidR="00B35E95" w14:paraId="4ED742D4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14AB746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5E7B2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68DD4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BC2A6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tr w:rsidR="00B35E95" w14:paraId="2953A0EC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</w:tcPr>
          <w:p w14:paraId="332BA7C4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A500006 Osiguranje pomoćnika učenicima s teškoćama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CCFE17F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E0A9011" w14:textId="20176D60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="009D56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9D56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645A83B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100.400</w:t>
            </w:r>
          </w:p>
        </w:tc>
      </w:tr>
      <w:tr w:rsidR="00B35E95" w14:paraId="65AEF237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</w:tcPr>
          <w:p w14:paraId="08514E23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1.1. PRIHODI IZ NADLEŽNOG PRORAČUNA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22F445F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A5EB811" w14:textId="2984071A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</w:t>
            </w:r>
            <w:r w:rsidR="002C6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EC84FEB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40.900</w:t>
            </w:r>
          </w:p>
        </w:tc>
      </w:tr>
      <w:tr w:rsidR="00B35E95" w14:paraId="16D89313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38F0DF6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75203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2070B" w14:textId="465B0DA5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</w:t>
            </w:r>
            <w:r w:rsidR="002C64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5158E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40.900</w:t>
            </w:r>
          </w:p>
        </w:tc>
      </w:tr>
      <w:tr w:rsidR="00B35E95" w14:paraId="4970D30B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D8EF302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428F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F2F94" w14:textId="0973A329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</w:t>
            </w:r>
            <w:r w:rsidR="002C64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1337B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40.900</w:t>
            </w:r>
          </w:p>
        </w:tc>
      </w:tr>
      <w:tr w:rsidR="00B35E95" w14:paraId="110FA489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</w:tcPr>
          <w:p w14:paraId="085D3347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5.9. POMOĆI-PRIHODI KORISNIKA-GL 02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A84DBF1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5F6B2BF" w14:textId="6CD835E6" w:rsidR="00B35E95" w:rsidRDefault="002C648F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</w:t>
            </w:r>
            <w:r w:rsidR="00B35E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</w:t>
            </w:r>
            <w:r w:rsidR="00B35E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4342F83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59.500</w:t>
            </w:r>
          </w:p>
        </w:tc>
      </w:tr>
      <w:tr w:rsidR="00B35E95" w14:paraId="4D3860FA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027DDA2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E5CBB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8335A" w14:textId="320C9C2C" w:rsidR="00B35E95" w:rsidRDefault="002C648F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</w:t>
            </w:r>
            <w:r w:rsidR="00B35E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</w:t>
            </w:r>
            <w:r w:rsidR="00B35E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6A6C3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59.500</w:t>
            </w:r>
          </w:p>
        </w:tc>
      </w:tr>
      <w:tr w:rsidR="00B35E95" w14:paraId="476A49B7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6ED445F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930D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A4FCF" w14:textId="2FEB6AC4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2C64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2C64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49C3B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54.900</w:t>
            </w:r>
          </w:p>
        </w:tc>
      </w:tr>
      <w:tr w:rsidR="00B35E95" w14:paraId="72A86019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39AD9DB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4815E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3F90C" w14:textId="04E9DBD1" w:rsidR="00B35E95" w:rsidRDefault="002C648F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 w:rsidR="00B35E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</w:t>
            </w:r>
            <w:r w:rsidR="00B35E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0B9D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4.600</w:t>
            </w:r>
          </w:p>
        </w:tc>
      </w:tr>
      <w:tr w:rsidR="00B35E95" w14:paraId="1064504E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</w:tcPr>
          <w:p w14:paraId="407B85A9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A500007 Financiranje izvannastavnih projekata i drugo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DC3717F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DE5EB75" w14:textId="512BA55D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="002C6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2C6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886A491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</w:t>
            </w:r>
          </w:p>
        </w:tc>
      </w:tr>
      <w:tr w:rsidR="00B35E95" w14:paraId="51AB2E87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</w:tcPr>
          <w:p w14:paraId="73697CF3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1.1. PRIHODI IZ NADLEŽNOG PRORAČUNA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0EB7475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3DF81D9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0853767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</w:tr>
      <w:tr w:rsidR="00B35E95" w14:paraId="620ED33D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F24CF27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BEA67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C4616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99D93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</w:t>
            </w:r>
          </w:p>
        </w:tc>
      </w:tr>
      <w:tr w:rsidR="00B35E95" w14:paraId="173EF00F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DCAA5E5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B4120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E10B6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3F6C6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</w:t>
            </w:r>
          </w:p>
        </w:tc>
      </w:tr>
      <w:tr w:rsidR="00B35E95" w14:paraId="4EE6125B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</w:tcPr>
          <w:p w14:paraId="648C391A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5.9. POMOĆI-PRIHODI KORISNIKA-GL 02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277897C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EE26197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13.550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DC6CE52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B35E95" w14:paraId="3277618D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B5AFC8E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7C913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9B08D" w14:textId="04B6F683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="002C64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D21C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</w:t>
            </w:r>
          </w:p>
        </w:tc>
      </w:tr>
      <w:tr w:rsidR="00B35E95" w14:paraId="7F8F095F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8E62ED9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FFF65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580E3" w14:textId="2E76DB82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="002C64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2C64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E4AF9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</w:t>
            </w:r>
          </w:p>
        </w:tc>
      </w:tr>
      <w:tr w:rsidR="00B35E95" w14:paraId="253805F5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D677654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 Rashodi za nabavu nefinancijske imovine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32EE2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A810C" w14:textId="540EC2F1" w:rsidR="00B35E95" w:rsidRDefault="002C648F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58766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tr w:rsidR="00B35E95" w14:paraId="2DCF50E1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14960CB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32EF4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D0D00" w14:textId="0A6A44EB" w:rsidR="00B35E95" w:rsidRDefault="002C648F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881FA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tr w:rsidR="00B35E95" w14:paraId="4FEF03DB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</w:tcPr>
          <w:p w14:paraId="055E815D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6.9. DONACIJE - prihodi korisnika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595740D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191D118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20F4C4C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B35E95" w14:paraId="5D0E7CE2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F73D954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52D27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20F80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995A3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tr w:rsidR="00B35E95" w14:paraId="7EAD39F4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FD9CECF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F9379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94C3E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EC4B5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tr w:rsidR="00B35E95" w14:paraId="13B03A91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6953C8D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72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D141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870E5" w14:textId="62770579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FE991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tr w:rsidR="00B35E95" w14:paraId="13138CA4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AC38CD0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72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DF3FB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5DE05" w14:textId="7BC93220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326C7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tr w:rsidR="00B35E95" w14:paraId="53DB8C5F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</w:tcPr>
          <w:p w14:paraId="70073C14" w14:textId="0E05373A" w:rsidR="00B35E95" w:rsidRDefault="002C648F" w:rsidP="00B3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C6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A5000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</w:t>
            </w:r>
            <w:r w:rsidRPr="002C6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Osiguranje pomoćnika učenicima s teškoćama - financiranje Grada i općina</w:t>
            </w:r>
          </w:p>
        </w:tc>
        <w:tc>
          <w:tcPr>
            <w:tcW w:w="27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098B690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DA09059" w14:textId="76A608D5" w:rsidR="00B35E95" w:rsidRDefault="002C648F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9.40</w:t>
            </w:r>
            <w:r w:rsidR="00B35E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3CE7E98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2.600</w:t>
            </w:r>
          </w:p>
        </w:tc>
      </w:tr>
      <w:tr w:rsidR="00B35E95" w14:paraId="57EA60AB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</w:tcPr>
          <w:p w14:paraId="28A4FBCB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1.1. PRIHODI IZ NADLEŽNOG PRORAČUNA</w:t>
            </w:r>
          </w:p>
        </w:tc>
        <w:tc>
          <w:tcPr>
            <w:tcW w:w="27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C5C6812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165C3" w14:textId="77D0D195" w:rsidR="00B35E95" w:rsidRDefault="002C648F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9.40</w:t>
            </w:r>
            <w:r w:rsidR="00B35E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9C0E9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2.600</w:t>
            </w:r>
          </w:p>
        </w:tc>
      </w:tr>
      <w:tr w:rsidR="00B35E95" w14:paraId="541ABE86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58B5889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72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0667F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8F11A" w14:textId="5C7A3A63" w:rsidR="00B35E95" w:rsidRDefault="002C648F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9.40</w:t>
            </w:r>
            <w:r w:rsidR="00B35E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6398D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2.600</w:t>
            </w:r>
          </w:p>
        </w:tc>
      </w:tr>
      <w:tr w:rsidR="00B35E95" w14:paraId="235524C3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10BEE87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272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A6E55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7A30C" w14:textId="59A050E1" w:rsidR="00B35E95" w:rsidRDefault="002C648F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8.80</w:t>
            </w:r>
            <w:r w:rsidR="00B35E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6D9FB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2.600</w:t>
            </w:r>
          </w:p>
        </w:tc>
      </w:tr>
      <w:tr w:rsidR="002C648F" w14:paraId="1D80343A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98F5A6A" w14:textId="7B1EE619" w:rsidR="002C648F" w:rsidRDefault="002C648F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72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C65CD" w14:textId="77777777" w:rsidR="002C648F" w:rsidRDefault="002C648F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A6CBF" w14:textId="7C7CC9FA" w:rsidR="002C648F" w:rsidRDefault="002C648F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ABE37" w14:textId="77777777" w:rsidR="002C648F" w:rsidRDefault="002C648F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B35E95" w14:paraId="37EACB96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</w:tcPr>
          <w:p w14:paraId="1470179F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K500001 Kapitalna ulaganja osnovnog školstva</w:t>
            </w:r>
          </w:p>
        </w:tc>
        <w:tc>
          <w:tcPr>
            <w:tcW w:w="27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B46ECE1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AFA3D77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D14F43E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</w:t>
            </w:r>
          </w:p>
        </w:tc>
      </w:tr>
      <w:tr w:rsidR="00B35E95" w14:paraId="4CC37A7D" w14:textId="77777777">
        <w:trPr>
          <w:trHeight w:val="300"/>
        </w:trPr>
        <w:tc>
          <w:tcPr>
            <w:tcW w:w="85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</w:tcPr>
          <w:p w14:paraId="459103E5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1.1. PRIHODI IZ NADLEŽNOG PRORAČUNA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74F5031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8C44622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17.500</w:t>
            </w:r>
          </w:p>
        </w:tc>
      </w:tr>
      <w:tr w:rsidR="00B35E95" w14:paraId="02D632D4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23EFC15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72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96FF8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95BBC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0EF39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17.500</w:t>
            </w:r>
          </w:p>
        </w:tc>
      </w:tr>
      <w:tr w:rsidR="00B35E95" w14:paraId="772D20D4" w14:textId="77777777" w:rsidTr="002C648F">
        <w:trPr>
          <w:trHeight w:val="266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E68AFAD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72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876B0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E0BA3" w14:textId="34F2CA90" w:rsidR="00B35E95" w:rsidRDefault="00B35E95" w:rsidP="00B35E9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153EA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17.500</w:t>
            </w:r>
          </w:p>
        </w:tc>
      </w:tr>
      <w:tr w:rsidR="00B35E95" w14:paraId="1C2BBC98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</w:tcPr>
          <w:p w14:paraId="195169A4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27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34E7F89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57F8522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8234571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</w:t>
            </w:r>
          </w:p>
        </w:tc>
      </w:tr>
      <w:tr w:rsidR="00B35E95" w14:paraId="0EC2CC8A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4EEE411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72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039A3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01DC5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2FCA3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</w:t>
            </w:r>
          </w:p>
        </w:tc>
      </w:tr>
      <w:tr w:rsidR="00B35E95" w14:paraId="017AE41C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22D7D02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72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19C62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9093B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40E07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</w:t>
            </w:r>
          </w:p>
        </w:tc>
      </w:tr>
      <w:tr w:rsidR="00B35E95" w14:paraId="40D70F30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</w:tcPr>
          <w:p w14:paraId="628DB72C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6.9. DONACIJE - prihodi korisnika</w:t>
            </w:r>
          </w:p>
        </w:tc>
        <w:tc>
          <w:tcPr>
            <w:tcW w:w="27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1B90B3E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2F14348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CAF0170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B35E95" w14:paraId="584C486E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56E74B0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72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F4C05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42B9E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A1108" w14:textId="2D69C1E0" w:rsidR="00B35E95" w:rsidRDefault="00B35E95" w:rsidP="00B35E9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</w:p>
        </w:tc>
      </w:tr>
      <w:tr w:rsidR="00B35E95" w14:paraId="452C24A4" w14:textId="77777777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1838CB7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72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9F969" w14:textId="77777777" w:rsidR="00B35E95" w:rsidRDefault="00B35E95" w:rsidP="00B3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1FC13" w14:textId="77777777" w:rsidR="00B35E95" w:rsidRDefault="00B35E95" w:rsidP="00B35E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03C74" w14:textId="4D3F6CA4" w:rsidR="00B35E95" w:rsidRDefault="00B35E95" w:rsidP="00B35E9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</w:p>
        </w:tc>
      </w:tr>
    </w:tbl>
    <w:p w14:paraId="4986786D" w14:textId="77777777" w:rsidR="008C0BE6" w:rsidRDefault="008C0BE6">
      <w:pPr>
        <w:pStyle w:val="Bezproreda"/>
        <w:jc w:val="both"/>
        <w:rPr>
          <w:rFonts w:ascii="Arial" w:eastAsia="Arial" w:hAnsi="Arial" w:cs="Arial"/>
          <w:b/>
          <w:color w:val="FF0000"/>
          <w:highlight w:val="yellow"/>
        </w:rPr>
      </w:pPr>
    </w:p>
    <w:p w14:paraId="46C6C710" w14:textId="77777777" w:rsidR="008C0BE6" w:rsidRDefault="008C0BE6">
      <w:pPr>
        <w:pStyle w:val="Bezproreda"/>
        <w:jc w:val="both"/>
        <w:rPr>
          <w:rFonts w:ascii="Arial" w:eastAsia="Arial" w:hAnsi="Arial" w:cs="Arial"/>
          <w:b/>
          <w:color w:val="FF0000"/>
          <w:highlight w:val="yellow"/>
        </w:rPr>
      </w:pPr>
    </w:p>
    <w:p w14:paraId="52CF8601" w14:textId="77777777" w:rsidR="008C0BE6" w:rsidRDefault="008C0BE6">
      <w:pPr>
        <w:pStyle w:val="Bezproreda"/>
        <w:jc w:val="both"/>
        <w:rPr>
          <w:rFonts w:ascii="Arial" w:eastAsia="Arial" w:hAnsi="Arial" w:cs="Arial"/>
          <w:b/>
          <w:color w:val="FF0000"/>
          <w:highlight w:val="yellow"/>
        </w:rPr>
      </w:pPr>
    </w:p>
    <w:p w14:paraId="7E54C25B" w14:textId="77777777" w:rsidR="008C0BE6" w:rsidRDefault="008C0BE6">
      <w:pPr>
        <w:pStyle w:val="Bezproreda"/>
        <w:jc w:val="both"/>
        <w:rPr>
          <w:rFonts w:ascii="Arial" w:eastAsia="Arial" w:hAnsi="Arial" w:cs="Arial"/>
          <w:b/>
          <w:color w:val="FF0000"/>
          <w:highlight w:val="yellow"/>
        </w:rPr>
      </w:pPr>
    </w:p>
    <w:p w14:paraId="14B10FC7" w14:textId="77777777" w:rsidR="008C0BE6" w:rsidRDefault="008C0BE6">
      <w:pPr>
        <w:pStyle w:val="Bezproreda"/>
        <w:jc w:val="both"/>
        <w:rPr>
          <w:rFonts w:ascii="Arial" w:eastAsia="Arial" w:hAnsi="Arial" w:cs="Arial"/>
          <w:b/>
          <w:color w:val="FF0000"/>
          <w:highlight w:val="yellow"/>
        </w:rPr>
      </w:pPr>
    </w:p>
    <w:p w14:paraId="67B6FC5D" w14:textId="77777777" w:rsidR="008C0BE6" w:rsidRDefault="008C0BE6">
      <w:pPr>
        <w:pStyle w:val="Bezproreda"/>
        <w:jc w:val="both"/>
        <w:rPr>
          <w:rFonts w:ascii="Arial" w:eastAsia="Arial" w:hAnsi="Arial" w:cs="Arial"/>
          <w:b/>
          <w:color w:val="FF0000"/>
          <w:highlight w:val="yellow"/>
        </w:rPr>
      </w:pPr>
    </w:p>
    <w:p w14:paraId="33C80942" w14:textId="77777777" w:rsidR="008C0BE6" w:rsidRDefault="008C0BE6">
      <w:pPr>
        <w:pStyle w:val="Bezproreda"/>
        <w:jc w:val="both"/>
        <w:rPr>
          <w:rFonts w:ascii="Arial" w:eastAsia="Arial" w:hAnsi="Arial" w:cs="Arial"/>
          <w:b/>
          <w:color w:val="FF0000"/>
          <w:highlight w:val="yellow"/>
        </w:rPr>
      </w:pPr>
    </w:p>
    <w:p w14:paraId="3C05FC07" w14:textId="77777777" w:rsidR="00D243A0" w:rsidRDefault="00D243A0">
      <w:pPr>
        <w:pStyle w:val="Bezproreda"/>
        <w:jc w:val="both"/>
        <w:rPr>
          <w:rFonts w:ascii="Arial" w:eastAsia="Arial" w:hAnsi="Arial" w:cs="Arial"/>
          <w:b/>
          <w:color w:val="FF0000"/>
          <w:highlight w:val="yellow"/>
        </w:rPr>
        <w:sectPr w:rsidR="00D243A0" w:rsidSect="009D5EC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C8F7003" w14:textId="77777777" w:rsidR="008C0BE6" w:rsidRDefault="00D87834">
      <w:pPr>
        <w:pStyle w:val="Bezproreda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lastRenderedPageBreak/>
        <w:t>Opis i cilj programa</w:t>
      </w:r>
      <w:r>
        <w:rPr>
          <w:rFonts w:ascii="Arial" w:eastAsia="Arial" w:hAnsi="Arial" w:cs="Arial"/>
          <w:b/>
        </w:rPr>
        <w:t>:</w:t>
      </w:r>
    </w:p>
    <w:p w14:paraId="65C8E8C5" w14:textId="77777777" w:rsidR="008C0BE6" w:rsidRDefault="008C0BE6">
      <w:pPr>
        <w:tabs>
          <w:tab w:val="left" w:pos="851"/>
        </w:tabs>
        <w:spacing w:after="0"/>
        <w:jc w:val="both"/>
        <w:rPr>
          <w:rFonts w:ascii="Arial" w:eastAsia="Times New Roman" w:hAnsi="Arial" w:cs="Arial"/>
          <w:sz w:val="22"/>
        </w:rPr>
      </w:pPr>
    </w:p>
    <w:p w14:paraId="6796CAEB" w14:textId="77777777" w:rsidR="008C0BE6" w:rsidRDefault="00D87834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Škola obavlja djelatnost osnovnog odgoja i obrazovanja sukladno Zakonu o odgoju i obrazovanju u osnovnoj školi i srednjoj školi i Državnom pedagoškom standardu osnovnoškolskog sustava odgoja i obrazovanja.</w:t>
      </w:r>
      <w:r>
        <w:rPr>
          <w:rFonts w:ascii="Arial" w:eastAsia="Calibri" w:hAnsi="Arial" w:cs="Arial"/>
          <w:i/>
          <w:sz w:val="22"/>
        </w:rPr>
        <w:t xml:space="preserve"> </w:t>
      </w:r>
      <w:r>
        <w:rPr>
          <w:rFonts w:ascii="Arial" w:eastAsia="Calibri" w:hAnsi="Arial" w:cs="Arial"/>
          <w:sz w:val="22"/>
        </w:rPr>
        <w:t>Osnovnoškolsko obrazovanje ostvaruje se na temelju Godišnjeg plana i programa rada, te Školskog kurikuluma koji se donose na početku svake školske godine.</w:t>
      </w:r>
    </w:p>
    <w:p w14:paraId="1EF39528" w14:textId="77777777" w:rsidR="008C0BE6" w:rsidRDefault="00D87834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Rad Škole odnosno nastava je organizirana u petodnevnom radnom tjednu u jednoj smjeni - jutarnjoj.</w:t>
      </w:r>
    </w:p>
    <w:p w14:paraId="01ADD5B5" w14:textId="77777777" w:rsidR="008C0BE6" w:rsidRDefault="00D87834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Organizacijski se provodi u obliku redovne nastave, izborne nastave, dopunske nastave, dodatne nastave, satova razrednika te izvannastavnih aktivnosti i izvanškolskih aktivnosti</w:t>
      </w:r>
      <w:r>
        <w:rPr>
          <w:rFonts w:ascii="Arial" w:eastAsia="Calibri" w:hAnsi="Arial" w:cs="Arial"/>
          <w:i/>
          <w:sz w:val="22"/>
        </w:rPr>
        <w:t xml:space="preserve">. </w:t>
      </w:r>
      <w:r>
        <w:rPr>
          <w:rFonts w:ascii="Arial" w:eastAsia="Calibri" w:hAnsi="Arial" w:cs="Arial"/>
          <w:sz w:val="22"/>
        </w:rPr>
        <w:t xml:space="preserve">U školi se također provode i ostali programi koji omogućavaju i poboljšavaju kvalitetniji boravak učenika kao što je produženi boravak te programi i projekti koje Škola sama osmišljava i razne druge tematske radionice za učenike. </w:t>
      </w:r>
    </w:p>
    <w:p w14:paraId="04EC40BF" w14:textId="77777777" w:rsidR="008C0BE6" w:rsidRDefault="00D87834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Školu polazi  332 učenika u 18 razrednih odjela i dvije školske zgrade. U matičnoj zgradi organiziran je odgojno obrazovni rad za 312 učenika od prvog do osmog razreda. PŠ Rabac polazi 20 učenika od prvog do četvrtog razreda u dvije kombinacije.</w:t>
      </w:r>
    </w:p>
    <w:p w14:paraId="767C9782" w14:textId="77777777" w:rsidR="008C0BE6" w:rsidRDefault="00D87834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Produženi boravak organizirani je u matičnoj zgradi, a za učenike iz PŠ Rabac od 2020. godine održava se u PŠ Rabac. Na program produženog boravka polazi 128 učenika (stanje rujan 2024) u pet grupa.</w:t>
      </w:r>
    </w:p>
    <w:p w14:paraId="24CD48EF" w14:textId="77777777" w:rsidR="008C0BE6" w:rsidRDefault="008C0BE6">
      <w:pPr>
        <w:pStyle w:val="Bezproreda"/>
        <w:jc w:val="both"/>
        <w:rPr>
          <w:rFonts w:ascii="Arial" w:eastAsia="Arial" w:hAnsi="Arial" w:cs="Arial"/>
          <w:b/>
          <w:highlight w:val="yellow"/>
        </w:rPr>
      </w:pPr>
    </w:p>
    <w:p w14:paraId="7273C6F9" w14:textId="77777777" w:rsidR="008C0BE6" w:rsidRDefault="00D87834">
      <w:pPr>
        <w:pStyle w:val="Bezproreda"/>
        <w:jc w:val="both"/>
        <w:rPr>
          <w:rFonts w:ascii="Arial" w:eastAsia="Arial" w:hAnsi="Arial" w:cs="Arial"/>
          <w:b/>
          <w:u w:val="single"/>
        </w:rPr>
      </w:pPr>
      <w:bookmarkStart w:id="1" w:name="_Hlk46152963"/>
      <w:r>
        <w:rPr>
          <w:rFonts w:ascii="Arial" w:eastAsia="Arial" w:hAnsi="Arial" w:cs="Arial"/>
          <w:b/>
          <w:u w:val="single"/>
        </w:rPr>
        <w:t>Planirana  sredstva:</w:t>
      </w:r>
    </w:p>
    <w:p w14:paraId="5EA5299A" w14:textId="77777777" w:rsidR="008C0BE6" w:rsidRDefault="00D87834">
      <w:pPr>
        <w:pStyle w:val="Bezproreda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Za provedbu ovog programa planirana sredstva iznose 2</w:t>
      </w:r>
      <w:r>
        <w:rPr>
          <w:rFonts w:ascii="Arial" w:hAnsi="Arial" w:cs="Arial"/>
        </w:rPr>
        <w:t>.021.070 eura</w:t>
      </w:r>
    </w:p>
    <w:p w14:paraId="0139EF90" w14:textId="77777777" w:rsidR="008C0BE6" w:rsidRDefault="008C0BE6">
      <w:pPr>
        <w:pStyle w:val="Bezproreda"/>
        <w:jc w:val="both"/>
        <w:rPr>
          <w:rFonts w:ascii="Arial" w:eastAsia="Arial" w:hAnsi="Arial" w:cs="Arial"/>
        </w:rPr>
      </w:pPr>
    </w:p>
    <w:bookmarkEnd w:id="1"/>
    <w:p w14:paraId="26A80908" w14:textId="77777777" w:rsidR="008C0BE6" w:rsidRDefault="00D87834">
      <w:pPr>
        <w:pStyle w:val="Bezproreda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Pokazatelji uspješnosti : </w:t>
      </w:r>
    </w:p>
    <w:p w14:paraId="176F47B5" w14:textId="77777777" w:rsidR="008C0BE6" w:rsidRDefault="00D87834">
      <w:pPr>
        <w:tabs>
          <w:tab w:val="left" w:pos="851"/>
        </w:tabs>
        <w:spacing w:after="0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Uspješnost se vidi na konkretnim rezultatima učenika na pojedinim natjecanjima te naročito uspjeh svih učenika na kraju nastavne godine. Rizici su eventualni nedostatak sredstava za realizaciju planiranih programa i otežani uvjeti za izvođenje nastavnog procesa. Neprovođenjem ili djelomičnim provođenjem ovakvih programa i aktivnosti dovodi se u pitanje primjena standarda ili zakonskog minimalnog standarda u školi, te zadovoljavanje  potreba djece i njihovih roditelja na području Grada Labina za odgojem, naobrazbom, prehranom, rehabilitacijom i socijalnom skrbi.</w:t>
      </w:r>
    </w:p>
    <w:p w14:paraId="231EBAE4" w14:textId="77777777" w:rsidR="008C0BE6" w:rsidRDefault="008C0BE6">
      <w:pPr>
        <w:spacing w:after="0"/>
        <w:rPr>
          <w:rFonts w:ascii="Arial" w:eastAsia="Calibri" w:hAnsi="Arial" w:cs="Arial"/>
          <w:b/>
          <w:sz w:val="22"/>
          <w:highlight w:val="yellow"/>
        </w:rPr>
      </w:pPr>
    </w:p>
    <w:p w14:paraId="6CF48DA3" w14:textId="77777777" w:rsidR="008C0BE6" w:rsidRDefault="00D87834">
      <w:pPr>
        <w:tabs>
          <w:tab w:val="left" w:pos="851"/>
        </w:tabs>
        <w:spacing w:after="0" w:line="240" w:lineRule="auto"/>
        <w:jc w:val="both"/>
        <w:rPr>
          <w:rFonts w:ascii="Arial" w:eastAsia="Calibri" w:hAnsi="Arial" w:cs="Arial"/>
          <w:b/>
          <w:sz w:val="22"/>
        </w:rPr>
      </w:pPr>
      <w:r>
        <w:rPr>
          <w:rFonts w:ascii="Arial" w:eastAsia="Calibri" w:hAnsi="Arial" w:cs="Arial"/>
          <w:b/>
          <w:bCs/>
          <w:sz w:val="22"/>
        </w:rPr>
        <w:t>Aktivnost</w:t>
      </w:r>
      <w:r>
        <w:rPr>
          <w:rFonts w:ascii="Arial" w:eastAsia="Calibri" w:hAnsi="Arial" w:cs="Arial"/>
          <w:b/>
          <w:sz w:val="22"/>
        </w:rPr>
        <w:t xml:space="preserve"> A500003: Financiranje djelatnosti osnovnog obrazovanja</w:t>
      </w:r>
    </w:p>
    <w:p w14:paraId="7CEA8F60" w14:textId="77777777" w:rsidR="008C0BE6" w:rsidRDefault="00D87834">
      <w:pPr>
        <w:tabs>
          <w:tab w:val="left" w:pos="851"/>
        </w:tabs>
        <w:spacing w:after="0" w:line="240" w:lineRule="auto"/>
        <w:jc w:val="both"/>
        <w:rPr>
          <w:rFonts w:ascii="Arial" w:eastAsia="Calibri" w:hAnsi="Arial" w:cs="Arial"/>
          <w:b/>
          <w:sz w:val="22"/>
        </w:rPr>
      </w:pPr>
      <w:r>
        <w:rPr>
          <w:rFonts w:ascii="Arial" w:eastAsia="Calibri" w:hAnsi="Arial" w:cs="Arial"/>
          <w:b/>
          <w:bCs/>
          <w:sz w:val="22"/>
        </w:rPr>
        <w:t>Aktivnost</w:t>
      </w:r>
      <w:r>
        <w:rPr>
          <w:rFonts w:ascii="Arial" w:eastAsia="Calibri" w:hAnsi="Arial" w:cs="Arial"/>
          <w:b/>
          <w:sz w:val="22"/>
        </w:rPr>
        <w:t xml:space="preserve"> K500001: </w:t>
      </w:r>
      <w:r>
        <w:rPr>
          <w:rFonts w:ascii="Arial" w:eastAsia="Calibri" w:hAnsi="Arial" w:cs="Arial"/>
          <w:b/>
          <w:bCs/>
          <w:sz w:val="22"/>
        </w:rPr>
        <w:t>Kapitalna ulaganja osnovnog školstva</w:t>
      </w:r>
    </w:p>
    <w:p w14:paraId="4D8B4059" w14:textId="77777777" w:rsidR="008C0BE6" w:rsidRDefault="00D87834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Ove se aktivnosti ostvaruju iz decentraliziranih funkcija financiranja, iz gradskog proračuna te iz prihoda po posebnim namjenama.</w:t>
      </w:r>
    </w:p>
    <w:p w14:paraId="72307484" w14:textId="77777777" w:rsidR="008C0BE6" w:rsidRDefault="00D8783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2"/>
          <w:lang w:eastAsia="hr-HR"/>
        </w:rPr>
      </w:pPr>
      <w:r>
        <w:rPr>
          <w:rFonts w:ascii="Arial" w:eastAsia="Times New Roman" w:hAnsi="Arial" w:cs="Arial"/>
          <w:sz w:val="22"/>
          <w:lang w:eastAsia="hr-HR"/>
        </w:rPr>
        <w:t>Decentralizirane funkcije su rashodi koji su posebnim zakonima za osnovno i srednje školstvo preneseni na JLS kao pomoći izravnanja za decentralizirane funkcije. Podrazumijeva planiranje sredstava za tekuće izdatke škole: službenih putovanja, uredskog materijala, energije, usluge telefona, pošte i prijevoza, prijevoz učenika, komunalnih usluga, računalnih usluga, zdravstvenih usluga, ostalih usluga, premija osiguranja i ostalih nespomenutih rashoda poslovanja, materijala za tekuće i investicijsko održavanje, usluge tekućeg i investicijskog održavanja, te kapitalnih ulaganja, čija se visina utvrđuje Odlukom o kriterijima, mjerilima i načinu financiranja decentraliziranih funkcija osnovnog školstva Grada Labina, koja se donosi na temelju Odluke Vlade RH Odluke o kriterijima i mjerilima za utvrđivanje bilančnih prava za financiranje minimalnog financijskog standarda javnih potreba osnovnog školstava.</w:t>
      </w:r>
    </w:p>
    <w:p w14:paraId="47F2D228" w14:textId="77777777" w:rsidR="008C0BE6" w:rsidRDefault="00D87834">
      <w:pPr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Kapitalna ulaganja Škola u 2026. godini iznose 500 eura.</w:t>
      </w:r>
    </w:p>
    <w:p w14:paraId="49751914" w14:textId="77777777" w:rsidR="008C0BE6" w:rsidRDefault="00D8783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 školi je organizirana školska marenda te od 1.1.2023 Odlukom Vlade RH u iznosu od 1,33 eur po učeniku financirana je iz državnog proračuna. Planirani su rashodi služe za financiranje </w:t>
      </w:r>
      <w:r>
        <w:rPr>
          <w:rFonts w:ascii="Arial" w:hAnsi="Arial" w:cs="Arial"/>
          <w:sz w:val="22"/>
        </w:rPr>
        <w:lastRenderedPageBreak/>
        <w:t xml:space="preserve">prehrane učenika dok borave u školi u skladu s propisanim normativima koje donosi ministarstvo nadležno za zdravstvo. Prehrana se izvodi u školskom restoranu.  </w:t>
      </w:r>
    </w:p>
    <w:p w14:paraId="2C4FF839" w14:textId="77777777" w:rsidR="008C0BE6" w:rsidRDefault="00D8783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Škola je uključena u projekt Školska shema – besplatnih obroka voća, povrća i mlijeka za školsku djecu. Tim se projektom želi povećati unos svježeg voća i povrća te mlijeka i mliječnih proizvoda, kao i podizanja svijesti o značaju zdrave prehrane kod školske djece.</w:t>
      </w:r>
    </w:p>
    <w:p w14:paraId="12F26206" w14:textId="77777777" w:rsidR="008C0BE6" w:rsidRDefault="00D8783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Kroz ovu aktivnost prikazani su i rashodi za učitelje i tehničko administrativno osoblje koji se u cijelosti financiraju iz državnog proračuna. </w:t>
      </w:r>
    </w:p>
    <w:p w14:paraId="77A7464F" w14:textId="77777777" w:rsidR="008C0BE6" w:rsidRDefault="00D87834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sz w:val="22"/>
        </w:rPr>
      </w:pPr>
      <w:r>
        <w:rPr>
          <w:rFonts w:ascii="Arial" w:eastAsia="Calibri" w:hAnsi="Arial" w:cs="Arial"/>
          <w:b/>
          <w:bCs/>
          <w:sz w:val="22"/>
        </w:rPr>
        <w:t>Aktivnost A500004: Produženi boravak:</w:t>
      </w:r>
    </w:p>
    <w:p w14:paraId="67414580" w14:textId="77777777" w:rsidR="008C0BE6" w:rsidRDefault="00D8783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Od 2005. godine škola provodi i Program Produženog boravka, od 01.09.2024. po cijeni od 3,50 eura dnevno, uključeno je ukupno 123 učenika (stanje rujan/2025.). U produženom boravku zaposleno je 5 učiteljica čija sredstva za rashode plaće osigurava Grad Labin te u omjeru na broj djece iz područja Općine Raša dio financira navedena općina. Roditelji u rashodima za zaposlene sudjeluju sa 1,00 eura po danu od dana upisa do zahtjeva za ispisom. Rashodi prehrane financiraju se od strane roditelja sa 2,50 eura po danu korištenja usluge. </w:t>
      </w:r>
    </w:p>
    <w:p w14:paraId="4E1422A1" w14:textId="77777777" w:rsidR="008C0BE6" w:rsidRDefault="00D87834">
      <w:pPr>
        <w:tabs>
          <w:tab w:val="left" w:pos="851"/>
        </w:tabs>
        <w:spacing w:after="0"/>
        <w:jc w:val="both"/>
        <w:rPr>
          <w:rFonts w:ascii="Arial" w:eastAsia="Calibri" w:hAnsi="Arial" w:cs="Arial"/>
          <w:b/>
          <w:sz w:val="22"/>
          <w:lang w:eastAsia="hr-HR"/>
        </w:rPr>
      </w:pPr>
      <w:r>
        <w:rPr>
          <w:rFonts w:ascii="Arial" w:eastAsia="Calibri" w:hAnsi="Arial" w:cs="Arial"/>
          <w:b/>
          <w:sz w:val="22"/>
          <w:lang w:eastAsia="hr-HR"/>
        </w:rPr>
        <w:t>Aktivnost A500005: Dodatne aktivnosti učenika i osoblja u školi</w:t>
      </w:r>
    </w:p>
    <w:p w14:paraId="7581603D" w14:textId="77777777" w:rsidR="008C0BE6" w:rsidRDefault="00D87834">
      <w:pPr>
        <w:ind w:firstLine="708"/>
        <w:jc w:val="both"/>
        <w:rPr>
          <w:rFonts w:ascii="Arial" w:eastAsia="Times New Roman" w:hAnsi="Arial" w:cs="Arial"/>
          <w:sz w:val="22"/>
          <w:lang w:eastAsia="hr-HR"/>
        </w:rPr>
      </w:pPr>
      <w:r>
        <w:rPr>
          <w:rFonts w:ascii="Arial" w:eastAsia="Times New Roman" w:hAnsi="Arial" w:cs="Arial"/>
          <w:sz w:val="22"/>
          <w:lang w:eastAsia="hr-HR"/>
        </w:rPr>
        <w:t>Škola sustavno tijekom</w:t>
      </w:r>
      <w:r>
        <w:rPr>
          <w:rFonts w:ascii="Arial" w:eastAsia="Times New Roman" w:hAnsi="Arial" w:cs="Arial"/>
          <w:sz w:val="22"/>
          <w:lang w:val="en-US" w:eastAsia="hr-HR"/>
        </w:rPr>
        <w:t xml:space="preserve"> </w:t>
      </w:r>
      <w:r>
        <w:rPr>
          <w:rFonts w:ascii="Arial" w:eastAsia="Times New Roman" w:hAnsi="Arial" w:cs="Arial"/>
          <w:sz w:val="22"/>
          <w:lang w:eastAsia="hr-HR"/>
        </w:rPr>
        <w:t>školske godine provodi uočavanje, praćenje i poticanje darovitih učenika, te se organizira dodatni rad prema njihovim sklonostima, sposobnostima i interesima. Učenici sudjeluju na natjecanjima i smotrama školske, županijske, državne, pa čak i međunarodne razine, koja organizira Ministarstvo znanosti i obrazovanja, Agencija za odgoj i obrazovanje i drugi organizatori uz suglasnost Ministarstvo znanosti i obrazovanje, te u programima namijenjenim nadarenim učenicima.</w:t>
      </w:r>
    </w:p>
    <w:p w14:paraId="7F55F79F" w14:textId="77777777" w:rsidR="008C0BE6" w:rsidRDefault="00D87834">
      <w:pPr>
        <w:jc w:val="both"/>
        <w:rPr>
          <w:rFonts w:ascii="Arial" w:eastAsia="Calibri" w:hAnsi="Arial" w:cs="Arial"/>
          <w:sz w:val="22"/>
          <w:u w:val="single"/>
        </w:rPr>
      </w:pPr>
      <w:r>
        <w:rPr>
          <w:rFonts w:ascii="Arial" w:eastAsia="Times New Roman" w:hAnsi="Arial" w:cs="Arial"/>
          <w:sz w:val="22"/>
          <w:lang w:eastAsia="hr-HR"/>
        </w:rPr>
        <w:t>Kroz tu se aktivnost financiraju i mentorstva učitelja kao naknadu za uvođenje pripravnika u nastavni proces.</w:t>
      </w:r>
      <w:r>
        <w:rPr>
          <w:rFonts w:ascii="Arial" w:eastAsia="Times New Roman" w:hAnsi="Arial" w:cs="Arial"/>
          <w:sz w:val="22"/>
          <w:lang w:val="en-US" w:eastAsia="hr-HR"/>
        </w:rPr>
        <w:t xml:space="preserve"> </w:t>
      </w:r>
    </w:p>
    <w:p w14:paraId="20098B85" w14:textId="77777777" w:rsidR="008C0BE6" w:rsidRDefault="00D87834">
      <w:pPr>
        <w:tabs>
          <w:tab w:val="left" w:pos="851"/>
        </w:tabs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eastAsia="Calibri" w:hAnsi="Arial" w:cs="Arial"/>
          <w:b/>
          <w:sz w:val="22"/>
          <w:lang w:eastAsia="hr-HR"/>
        </w:rPr>
        <w:t>Aktivnost A500006: Osiguranje pomoćnika učenicima s teškoćama</w:t>
      </w:r>
    </w:p>
    <w:p w14:paraId="293A316E" w14:textId="77777777" w:rsidR="008C0BE6" w:rsidRDefault="00D87834">
      <w:pPr>
        <w:tabs>
          <w:tab w:val="left" w:pos="851"/>
        </w:tabs>
        <w:jc w:val="both"/>
        <w:rPr>
          <w:rFonts w:ascii="Arial" w:eastAsia="Calibri" w:hAnsi="Arial" w:cs="Arial"/>
          <w:sz w:val="22"/>
          <w:shd w:val="clear" w:color="auto" w:fill="FFFFFF"/>
        </w:rPr>
      </w:pPr>
      <w:r>
        <w:rPr>
          <w:rFonts w:ascii="Arial" w:eastAsia="Calibri" w:hAnsi="Arial" w:cs="Arial"/>
          <w:sz w:val="22"/>
        </w:rPr>
        <w:tab/>
        <w:t>Osiguranje pomoćnika u nastavi aktivnost je kojim se nastoji izjednačiti mogućnosti svih učenika, unaprjeđenje položaja djece s teškoćama i njihovih obitelji te stvaranje uvjeta za njihovo aktivno sudjelovanje u građanskim, društvenim i kulturnim aktivnostima njihovih zajednica. Za školsku godinu 2024./2025. Škola ima 7 pomoćnika u nastavi, a sredstva su osigurana kroz program RAST IV</w:t>
      </w:r>
      <w:r>
        <w:rPr>
          <w:rFonts w:ascii="Arial" w:eastAsia="Calibri" w:hAnsi="Arial" w:cs="Arial"/>
          <w:sz w:val="22"/>
          <w:shd w:val="clear" w:color="auto" w:fill="FFFFFF"/>
        </w:rPr>
        <w:t xml:space="preserve">. </w:t>
      </w:r>
    </w:p>
    <w:p w14:paraId="388700B5" w14:textId="77777777" w:rsidR="008C0BE6" w:rsidRDefault="00D87834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sz w:val="22"/>
        </w:rPr>
      </w:pPr>
      <w:r>
        <w:rPr>
          <w:rFonts w:ascii="Arial" w:eastAsia="Calibri" w:hAnsi="Arial" w:cs="Arial"/>
          <w:b/>
          <w:bCs/>
          <w:sz w:val="22"/>
        </w:rPr>
        <w:t>Aktivnost A50007: Financiranje izvannastavnih projekata i drugo</w:t>
      </w:r>
    </w:p>
    <w:p w14:paraId="2E32FEFD" w14:textId="77777777" w:rsidR="008C0BE6" w:rsidRDefault="00D87834">
      <w:pPr>
        <w:tabs>
          <w:tab w:val="left" w:pos="851"/>
        </w:tabs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i/>
          <w:sz w:val="22"/>
        </w:rPr>
        <w:tab/>
      </w:r>
      <w:r>
        <w:rPr>
          <w:rFonts w:ascii="Arial" w:eastAsia="Calibri" w:hAnsi="Arial" w:cs="Arial"/>
          <w:sz w:val="22"/>
        </w:rPr>
        <w:t xml:space="preserve">Sredstva po ovoj aktivnosti planirana su za provođenje školskih projekata kojima se potiče i poboljšava obrazovanje naših učenika. </w:t>
      </w:r>
    </w:p>
    <w:p w14:paraId="756D0494" w14:textId="77777777" w:rsidR="008C0BE6" w:rsidRDefault="00D87834">
      <w:pPr>
        <w:tabs>
          <w:tab w:val="left" w:pos="851"/>
        </w:tabs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U našoj se školi aktivno provodi implementacija zavičajne nastave te se kroz brojne nastavne, izvannastavne aktivnosti i terensku nastavu učenicima približava njihov zavičaj i njegovi ljudi i običaji. Dio tih rashoda pokriva se iz sredstava Istarske županije kroz njihov program Zavičajne nastave dok dio iz donacija pravnih i fizičkih osoba.</w:t>
      </w:r>
    </w:p>
    <w:p w14:paraId="72558558" w14:textId="77777777" w:rsidR="008C0BE6" w:rsidRDefault="008C0BE6">
      <w:pPr>
        <w:jc w:val="center"/>
        <w:rPr>
          <w:rFonts w:ascii="Arial" w:eastAsia="Times New Roman" w:hAnsi="Arial" w:cs="Arial"/>
          <w:b/>
          <w:sz w:val="22"/>
          <w:lang w:val="en-GB"/>
        </w:rPr>
      </w:pPr>
    </w:p>
    <w:p w14:paraId="55E96A3E" w14:textId="77777777" w:rsidR="008C0BE6" w:rsidRDefault="00D87834">
      <w:pPr>
        <w:tabs>
          <w:tab w:val="left" w:pos="851"/>
        </w:tabs>
        <w:spacing w:after="0"/>
        <w:jc w:val="both"/>
        <w:rPr>
          <w:rFonts w:ascii="Arial" w:eastAsia="Calibri" w:hAnsi="Arial" w:cs="Arial"/>
          <w:b/>
          <w:sz w:val="22"/>
          <w:lang w:eastAsia="hr-HR"/>
        </w:rPr>
      </w:pPr>
      <w:r>
        <w:rPr>
          <w:rFonts w:ascii="Arial" w:eastAsia="Calibri" w:hAnsi="Arial" w:cs="Arial"/>
          <w:b/>
          <w:sz w:val="22"/>
          <w:lang w:eastAsia="hr-HR"/>
        </w:rPr>
        <w:t>Aktivnost A500014: Osiguranje pomoćnika učenicima s teškoćama – financiranje Grada i općina</w:t>
      </w:r>
    </w:p>
    <w:p w14:paraId="769DAE4D" w14:textId="77777777" w:rsidR="008C0BE6" w:rsidRDefault="00D87834">
      <w:pPr>
        <w:tabs>
          <w:tab w:val="left" w:pos="851"/>
        </w:tabs>
        <w:spacing w:after="0"/>
        <w:jc w:val="both"/>
        <w:rPr>
          <w:rFonts w:ascii="Arial" w:hAnsi="Arial" w:cs="Arial"/>
          <w:sz w:val="22"/>
        </w:rPr>
      </w:pPr>
      <w:r>
        <w:rPr>
          <w:rFonts w:ascii="Arial" w:eastAsia="Calibri" w:hAnsi="Arial" w:cs="Arial"/>
          <w:bCs/>
          <w:sz w:val="22"/>
          <w:lang w:eastAsia="hr-HR"/>
        </w:rPr>
        <w:t xml:space="preserve">Aktivnost A500014: Osiguranje pomoćnika učenicima s teškoćama – financiranje Grada i općina </w:t>
      </w:r>
      <w:r>
        <w:rPr>
          <w:rFonts w:ascii="Arial" w:hAnsi="Arial" w:cs="Arial"/>
          <w:bCs/>
          <w:sz w:val="22"/>
        </w:rPr>
        <w:t>predstavlja novu aktivnost u okviru programa, pri čemu Europski socijalni fond (ESF) ne pokriva troškove zaposlenih pomoćnika u nastavi (PUN) koji nisu završili propisanu edukaciju. Sukladno tome, rashodi za te zaposlenike u cijelosti se financiraju iz nadležnog proračuna i proračuna jedinica lokalne samouprave (općina).</w:t>
      </w:r>
    </w:p>
    <w:p w14:paraId="1A34C1C0" w14:textId="77777777" w:rsidR="008C0BE6" w:rsidRDefault="008C0BE6">
      <w:pPr>
        <w:rPr>
          <w:rFonts w:ascii="Arial" w:hAnsi="Arial" w:cs="Arial"/>
          <w:color w:val="FF0000"/>
          <w:sz w:val="22"/>
        </w:rPr>
      </w:pPr>
    </w:p>
    <w:sectPr w:rsidR="008C0BE6" w:rsidSect="00D243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49FCE" w14:textId="77777777" w:rsidR="00DD435C" w:rsidRDefault="00DD435C">
      <w:pPr>
        <w:spacing w:line="240" w:lineRule="auto"/>
      </w:pPr>
      <w:r>
        <w:separator/>
      </w:r>
    </w:p>
  </w:endnote>
  <w:endnote w:type="continuationSeparator" w:id="0">
    <w:p w14:paraId="3713060C" w14:textId="77777777" w:rsidR="00DD435C" w:rsidRDefault="00DD4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237D0" w14:textId="77777777" w:rsidR="00DD435C" w:rsidRDefault="00DD435C">
      <w:pPr>
        <w:spacing w:after="0"/>
      </w:pPr>
      <w:r>
        <w:separator/>
      </w:r>
    </w:p>
  </w:footnote>
  <w:footnote w:type="continuationSeparator" w:id="0">
    <w:p w14:paraId="38D93BF9" w14:textId="77777777" w:rsidR="00DD435C" w:rsidRDefault="00DD43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A2913"/>
    <w:multiLevelType w:val="multilevel"/>
    <w:tmpl w:val="28FA29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6300322D"/>
    <w:multiLevelType w:val="multilevel"/>
    <w:tmpl w:val="6300322D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6CE1C93"/>
    <w:multiLevelType w:val="multilevel"/>
    <w:tmpl w:val="76CE1C93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12D"/>
    <w:rsid w:val="000A0443"/>
    <w:rsid w:val="000B70E2"/>
    <w:rsid w:val="00161973"/>
    <w:rsid w:val="00170D8F"/>
    <w:rsid w:val="00194336"/>
    <w:rsid w:val="001F64BD"/>
    <w:rsid w:val="002371FC"/>
    <w:rsid w:val="002575F1"/>
    <w:rsid w:val="002857B3"/>
    <w:rsid w:val="002C648F"/>
    <w:rsid w:val="002E0B8E"/>
    <w:rsid w:val="003320D7"/>
    <w:rsid w:val="00334CB5"/>
    <w:rsid w:val="00341A5F"/>
    <w:rsid w:val="00356F47"/>
    <w:rsid w:val="003E5871"/>
    <w:rsid w:val="00431C69"/>
    <w:rsid w:val="00432136"/>
    <w:rsid w:val="0049627E"/>
    <w:rsid w:val="005B7661"/>
    <w:rsid w:val="005D0D8B"/>
    <w:rsid w:val="00621F4F"/>
    <w:rsid w:val="00630E87"/>
    <w:rsid w:val="00631CF7"/>
    <w:rsid w:val="006834B8"/>
    <w:rsid w:val="006D012C"/>
    <w:rsid w:val="00865506"/>
    <w:rsid w:val="008B14FC"/>
    <w:rsid w:val="008C0BE6"/>
    <w:rsid w:val="00933839"/>
    <w:rsid w:val="009431F6"/>
    <w:rsid w:val="00997B47"/>
    <w:rsid w:val="009D560D"/>
    <w:rsid w:val="009D5ECE"/>
    <w:rsid w:val="00A04859"/>
    <w:rsid w:val="00A2034F"/>
    <w:rsid w:val="00A5175D"/>
    <w:rsid w:val="00A5711B"/>
    <w:rsid w:val="00B030E0"/>
    <w:rsid w:val="00B35E95"/>
    <w:rsid w:val="00B44E5B"/>
    <w:rsid w:val="00B92EA4"/>
    <w:rsid w:val="00B9359A"/>
    <w:rsid w:val="00C2512D"/>
    <w:rsid w:val="00C41547"/>
    <w:rsid w:val="00C4410E"/>
    <w:rsid w:val="00C54CAD"/>
    <w:rsid w:val="00CD09F8"/>
    <w:rsid w:val="00D243A0"/>
    <w:rsid w:val="00D87834"/>
    <w:rsid w:val="00D9225D"/>
    <w:rsid w:val="00DB7AF9"/>
    <w:rsid w:val="00DD435C"/>
    <w:rsid w:val="00E66A2A"/>
    <w:rsid w:val="00EA403B"/>
    <w:rsid w:val="00ED00AB"/>
    <w:rsid w:val="00F028F2"/>
    <w:rsid w:val="00F272DC"/>
    <w:rsid w:val="00F55329"/>
    <w:rsid w:val="0B34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460C"/>
  <w15:docId w15:val="{7A18B2D4-6B98-4550-9157-BB624654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/>
      <w:sz w:val="24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link w:val="BezproredaChar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qFormat/>
    <w:locked/>
    <w:rPr>
      <w:rFonts w:ascii="Calibri" w:eastAsia="Calibri" w:hAnsi="Calibri" w:cs="Times New Roman"/>
      <w:kern w:val="0"/>
      <w14:ligatures w14:val="none"/>
    </w:rPr>
  </w:style>
  <w:style w:type="table" w:styleId="Reetkatablice">
    <w:name w:val="Table Grid"/>
    <w:basedOn w:val="Obinatablica"/>
    <w:uiPriority w:val="39"/>
    <w:rsid w:val="00DB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5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12</Pages>
  <Words>3489</Words>
  <Characters>19891</Characters>
  <Application>Microsoft Office Word</Application>
  <DocSecurity>0</DocSecurity>
  <Lines>165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Glavičić</dc:creator>
  <cp:lastModifiedBy>Daniela Glavičić</cp:lastModifiedBy>
  <cp:revision>7</cp:revision>
  <cp:lastPrinted>2025-12-04T14:23:00Z</cp:lastPrinted>
  <dcterms:created xsi:type="dcterms:W3CDTF">2025-12-04T13:16:00Z</dcterms:created>
  <dcterms:modified xsi:type="dcterms:W3CDTF">2025-12-04T19:15:00Z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856D51BB1EB04CF4A92BADC276B25A69_13</vt:lpwstr>
  </property>
</Properties>
</file>